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68A" w:rsidRPr="00BF068A" w:rsidRDefault="00BF068A" w:rsidP="00BF068A">
      <w:pPr>
        <w:rPr>
          <w:rFonts w:ascii="Calisto MT" w:hAnsi="Calisto MT"/>
          <w:b/>
        </w:rPr>
      </w:pPr>
    </w:p>
    <w:p w:rsidR="00BF068A" w:rsidRPr="00BF068A" w:rsidRDefault="00BF068A" w:rsidP="00BF068A">
      <w:pPr>
        <w:pStyle w:val="Heading1"/>
      </w:pPr>
      <w:r>
        <w:t>3</w:t>
      </w:r>
      <w:r w:rsidRPr="008654CC">
        <w:t>)</w:t>
      </w:r>
      <w:r w:rsidRPr="008654CC">
        <w:tab/>
        <w:t xml:space="preserve">Witness </w:t>
      </w:r>
      <w:r>
        <w:t>- Bill Carriere</w:t>
      </w:r>
    </w:p>
    <w:p w:rsidR="00BF068A" w:rsidRDefault="00BF068A" w:rsidP="00BF068A">
      <w:pPr>
        <w:autoSpaceDE w:val="0"/>
        <w:autoSpaceDN w:val="0"/>
        <w:adjustRightInd w:val="0"/>
        <w:rPr>
          <w:rFonts w:ascii="Calisto MT" w:hAnsi="Calisto MT"/>
        </w:rPr>
      </w:pPr>
    </w:p>
    <w:p w:rsidR="00BF068A" w:rsidRPr="002441E5" w:rsidRDefault="00BF068A" w:rsidP="00BF068A">
      <w:pPr>
        <w:pStyle w:val="NoSpacing"/>
        <w:numPr>
          <w:ilvl w:val="0"/>
          <w:numId w:val="2"/>
        </w:numPr>
        <w:rPr>
          <w:rFonts w:ascii="Calisto MT" w:hAnsi="Calisto MT"/>
          <w:sz w:val="24"/>
          <w:szCs w:val="24"/>
        </w:rPr>
      </w:pPr>
      <w:r w:rsidRPr="002441E5">
        <w:rPr>
          <w:rFonts w:ascii="Calisto MT" w:hAnsi="Calisto MT"/>
          <w:sz w:val="24"/>
          <w:szCs w:val="24"/>
        </w:rPr>
        <w:t>My name is William (Bill) Carriere. (WILLIAMCARRIERE)</w:t>
      </w:r>
    </w:p>
    <w:p w:rsidR="00BF068A" w:rsidRPr="002441E5" w:rsidRDefault="00BF068A" w:rsidP="00BF068A">
      <w:pPr>
        <w:pStyle w:val="NoSpacing"/>
        <w:numPr>
          <w:ilvl w:val="0"/>
          <w:numId w:val="2"/>
        </w:numPr>
        <w:rPr>
          <w:rFonts w:ascii="Calisto MT" w:hAnsi="Calisto MT"/>
          <w:sz w:val="24"/>
          <w:szCs w:val="24"/>
        </w:rPr>
      </w:pPr>
      <w:r w:rsidRPr="00C32B73">
        <w:rPr>
          <w:rFonts w:ascii="Calisto MT" w:hAnsi="Calisto MT"/>
          <w:sz w:val="24"/>
          <w:szCs w:val="24"/>
        </w:rPr>
        <w:t xml:space="preserve">I am </w:t>
      </w:r>
      <w:r w:rsidRPr="00C32B73">
        <w:rPr>
          <w:rFonts w:ascii="Calisto MT" w:hAnsi="Calisto MT" w:cs="Arial"/>
          <w:sz w:val="24"/>
          <w:szCs w:val="24"/>
        </w:rPr>
        <w:t>the president of Borges of California and CEO of Carriere Family Farms, both handling operations.  Carriere Family Farms is a partnership between Bill and four cousins, all of whom are fourth generation California farmers.  Borges of California is a partnership between the Carriere family and Corporation Borges.  Corporation Borges, headquartered near Barcelona</w:t>
      </w:r>
      <w:r w:rsidRPr="002441E5">
        <w:rPr>
          <w:rFonts w:ascii="Calisto MT" w:hAnsi="Calisto MT" w:cs="Arial"/>
        </w:rPr>
        <w:t xml:space="preserve">. </w:t>
      </w:r>
    </w:p>
    <w:p w:rsidR="00BF068A" w:rsidRPr="002441E5" w:rsidRDefault="00BF068A" w:rsidP="00BF068A">
      <w:pPr>
        <w:pStyle w:val="NoSpacing"/>
        <w:numPr>
          <w:ilvl w:val="0"/>
          <w:numId w:val="2"/>
        </w:numPr>
        <w:rPr>
          <w:rFonts w:ascii="Calisto MT" w:hAnsi="Calisto MT"/>
          <w:sz w:val="24"/>
          <w:szCs w:val="24"/>
        </w:rPr>
      </w:pPr>
      <w:r w:rsidRPr="002441E5">
        <w:rPr>
          <w:rFonts w:ascii="Calisto MT" w:hAnsi="Calisto MT"/>
          <w:sz w:val="24"/>
          <w:szCs w:val="24"/>
        </w:rPr>
        <w:t>I am testifying today as a small handler</w:t>
      </w:r>
    </w:p>
    <w:p w:rsidR="00BF068A" w:rsidRPr="001C0C61" w:rsidRDefault="00BF068A" w:rsidP="00BF068A">
      <w:pPr>
        <w:pStyle w:val="NoSpacing"/>
        <w:numPr>
          <w:ilvl w:val="0"/>
          <w:numId w:val="2"/>
        </w:numPr>
        <w:rPr>
          <w:rFonts w:ascii="Calisto MT" w:hAnsi="Calisto MT"/>
          <w:sz w:val="24"/>
          <w:szCs w:val="24"/>
        </w:rPr>
      </w:pPr>
      <w:r w:rsidRPr="002441E5">
        <w:rPr>
          <w:rFonts w:ascii="Calisto MT" w:hAnsi="Calisto MT" w:cs="Arial"/>
          <w:sz w:val="24"/>
          <w:szCs w:val="24"/>
        </w:rPr>
        <w:t xml:space="preserve">I serve on the California Walnut Board in the capacity of </w:t>
      </w:r>
      <w:r>
        <w:rPr>
          <w:rFonts w:ascii="Calisto MT" w:hAnsi="Calisto MT" w:cs="Arial"/>
          <w:sz w:val="24"/>
          <w:szCs w:val="24"/>
        </w:rPr>
        <w:t>Member</w:t>
      </w:r>
      <w:r w:rsidRPr="002441E5">
        <w:rPr>
          <w:rFonts w:ascii="Calisto MT" w:hAnsi="Calisto MT" w:cs="Arial"/>
          <w:sz w:val="24"/>
          <w:szCs w:val="24"/>
        </w:rPr>
        <w:t xml:space="preserve"> and sit on the Executive, Market Development and Grades &amp; Standards Committees</w:t>
      </w:r>
      <w:r>
        <w:rPr>
          <w:rFonts w:ascii="Calisto MT" w:hAnsi="Calisto MT"/>
          <w:sz w:val="24"/>
          <w:szCs w:val="24"/>
        </w:rPr>
        <w:t>.</w:t>
      </w:r>
    </w:p>
    <w:p w:rsidR="00BF068A" w:rsidRDefault="00BF068A" w:rsidP="00BF068A">
      <w:pPr>
        <w:pStyle w:val="NoSpacing"/>
        <w:ind w:left="720"/>
        <w:rPr>
          <w:rFonts w:ascii="Calisto MT" w:hAnsi="Calisto MT"/>
          <w:sz w:val="24"/>
          <w:szCs w:val="24"/>
        </w:rPr>
      </w:pPr>
    </w:p>
    <w:p w:rsidR="00BF068A" w:rsidRPr="001C0EBE" w:rsidRDefault="00BF068A" w:rsidP="00BF068A">
      <w:pPr>
        <w:pStyle w:val="NoSpacing"/>
        <w:rPr>
          <w:rFonts w:ascii="Calisto MT" w:hAnsi="Calisto MT" w:cs="Times New Roman"/>
          <w:sz w:val="24"/>
          <w:szCs w:val="24"/>
        </w:rPr>
      </w:pPr>
      <w:r w:rsidRPr="001C0EBE">
        <w:rPr>
          <w:rFonts w:ascii="Calisto MT" w:hAnsi="Calisto MT" w:cs="Times New Roman"/>
          <w:sz w:val="24"/>
          <w:szCs w:val="24"/>
        </w:rPr>
        <w:t>Today I would like to discuss points: justification points 1, (Proposal Purpos</w:t>
      </w:r>
      <w:r>
        <w:rPr>
          <w:rFonts w:ascii="Calisto MT" w:hAnsi="Calisto MT" w:cs="Times New Roman"/>
          <w:sz w:val="24"/>
          <w:szCs w:val="24"/>
        </w:rPr>
        <w:t xml:space="preserve">e) 2 (Problem to be addressed) and </w:t>
      </w:r>
      <w:r w:rsidRPr="001C0EBE">
        <w:rPr>
          <w:rFonts w:ascii="Calisto MT" w:hAnsi="Calisto MT" w:cs="Times New Roman"/>
          <w:sz w:val="24"/>
          <w:szCs w:val="24"/>
        </w:rPr>
        <w:t>3 What are the current industry practices relative to the proposal &amp; 8 (Proposal implementation)</w:t>
      </w:r>
    </w:p>
    <w:p w:rsidR="00BF068A" w:rsidRDefault="00BF068A" w:rsidP="00BF068A">
      <w:pPr>
        <w:autoSpaceDE w:val="0"/>
        <w:autoSpaceDN w:val="0"/>
        <w:adjustRightInd w:val="0"/>
        <w:rPr>
          <w:rFonts w:ascii="Calisto MT" w:hAnsi="Calisto MT"/>
        </w:rPr>
      </w:pPr>
    </w:p>
    <w:p w:rsidR="00BF068A" w:rsidRPr="008F2891" w:rsidRDefault="00BF068A" w:rsidP="00BF068A">
      <w:pPr>
        <w:autoSpaceDE w:val="0"/>
        <w:autoSpaceDN w:val="0"/>
        <w:adjustRightInd w:val="0"/>
        <w:rPr>
          <w:rFonts w:ascii="Calisto MT" w:hAnsi="Calisto MT"/>
          <w:color w:val="000000" w:themeColor="text1"/>
        </w:rPr>
      </w:pPr>
      <w:r w:rsidRPr="008F2891">
        <w:rPr>
          <w:rFonts w:ascii="Calisto MT" w:hAnsi="Calisto MT"/>
          <w:color w:val="000000" w:themeColor="text1"/>
        </w:rPr>
        <w:t xml:space="preserve">The amendatory language of the proposed change was as published in the Notice of the Hearing, Section 946.46, items a-c. </w:t>
      </w:r>
    </w:p>
    <w:p w:rsidR="00BF068A" w:rsidRPr="00F44BA7" w:rsidRDefault="00BF068A" w:rsidP="00BF068A">
      <w:pPr>
        <w:rPr>
          <w:rFonts w:ascii="Calisto MT" w:hAnsi="Calisto MT"/>
        </w:rPr>
      </w:pPr>
    </w:p>
    <w:p w:rsidR="00BF068A" w:rsidRPr="00F44BA7" w:rsidRDefault="00BF068A" w:rsidP="00BF068A">
      <w:pPr>
        <w:autoSpaceDE w:val="0"/>
        <w:autoSpaceDN w:val="0"/>
        <w:adjustRightInd w:val="0"/>
        <w:jc w:val="both"/>
        <w:rPr>
          <w:rFonts w:ascii="Calisto MT" w:hAnsi="Calisto MT"/>
        </w:rPr>
      </w:pPr>
      <w:r w:rsidRPr="00F44BA7">
        <w:rPr>
          <w:rFonts w:ascii="Calisto MT" w:hAnsi="Calisto MT"/>
        </w:rPr>
        <w:t>The proposed language would amend the walnut marketing order #984 by adding authority to provide credit</w:t>
      </w:r>
      <w:r>
        <w:rPr>
          <w:rFonts w:ascii="Calisto MT" w:hAnsi="Calisto MT"/>
        </w:rPr>
        <w:t>-back</w:t>
      </w:r>
      <w:r w:rsidRPr="00F44BA7">
        <w:rPr>
          <w:rFonts w:ascii="Calisto MT" w:hAnsi="Calisto MT"/>
        </w:rPr>
        <w:t xml:space="preserve"> for market promotion expenses paid by handlers against their annual assessments due under the program.  If implemented, this program would encourage handlers to undertake market promotion activities in addition to the CWB’s generic marketing efforts. Currently this authority is not granted in the order language. </w:t>
      </w:r>
    </w:p>
    <w:p w:rsidR="00BF068A" w:rsidRPr="00F44BA7" w:rsidRDefault="00BF068A" w:rsidP="00BF068A">
      <w:pPr>
        <w:contextualSpacing/>
        <w:jc w:val="both"/>
        <w:rPr>
          <w:rFonts w:ascii="Calisto MT" w:hAnsi="Calisto MT"/>
        </w:rPr>
      </w:pPr>
    </w:p>
    <w:p w:rsidR="00BF068A" w:rsidRPr="00F44BA7" w:rsidRDefault="00BF068A" w:rsidP="00BF068A">
      <w:pPr>
        <w:contextualSpacing/>
        <w:jc w:val="both"/>
        <w:rPr>
          <w:rFonts w:ascii="Calisto MT" w:hAnsi="Calisto MT"/>
          <w:b/>
        </w:rPr>
      </w:pPr>
      <w:r w:rsidRPr="00F44BA7">
        <w:rPr>
          <w:rFonts w:ascii="Calisto MT" w:hAnsi="Calisto MT"/>
        </w:rPr>
        <w:t>The proposed amendment would include: Adding authority under §984.46, Research and promotion,  for “credit back” of  market promotion activities against handler assessments; adding a new §984.546, Credit for market promotion activities, including paid advertising, under a new Subpart D, Research and Development Requirements, outlining the functional requirements of the credit back program</w:t>
      </w:r>
      <w:r>
        <w:rPr>
          <w:rFonts w:ascii="Calisto MT" w:hAnsi="Calisto MT"/>
        </w:rPr>
        <w:t>.</w:t>
      </w:r>
      <w:r w:rsidRPr="00F44BA7">
        <w:rPr>
          <w:rFonts w:ascii="Calisto MT" w:hAnsi="Calisto MT"/>
        </w:rPr>
        <w:t xml:space="preserve"> </w:t>
      </w:r>
    </w:p>
    <w:p w:rsidR="00BF068A" w:rsidRPr="00F44BA7" w:rsidRDefault="00BF068A" w:rsidP="00BF068A">
      <w:pPr>
        <w:pStyle w:val="BodyText2"/>
        <w:jc w:val="both"/>
        <w:rPr>
          <w:rFonts w:ascii="Calisto MT" w:hAnsi="Calisto MT"/>
          <w:b w:val="0"/>
          <w:bCs w:val="0"/>
          <w:sz w:val="24"/>
        </w:rPr>
      </w:pPr>
    </w:p>
    <w:p w:rsidR="00BF068A" w:rsidRDefault="00BF068A" w:rsidP="00BF068A">
      <w:pPr>
        <w:pStyle w:val="BodyText"/>
        <w:jc w:val="both"/>
        <w:rPr>
          <w:rFonts w:ascii="Calisto MT" w:hAnsi="Calisto MT"/>
          <w:sz w:val="24"/>
        </w:rPr>
      </w:pPr>
      <w:r>
        <w:rPr>
          <w:rFonts w:ascii="Calisto MT" w:hAnsi="Calisto MT"/>
          <w:sz w:val="24"/>
        </w:rPr>
        <w:t xml:space="preserve">The industry is continuing to increase, with annual gains in production, our foreign competition is producing more with larger crops coming from leading competitors like Chile, China and Europe, and the current trade challenges before us with tariffs, have caused the industry to assess itself and assess where we want to be in 5 years and beyond.  In looking at our markets, our programs and opportunities to further develop, the credit-back program was identified as a potential solution to help the industry, specifically handlers grow their business and supporting activities.  </w:t>
      </w:r>
    </w:p>
    <w:p w:rsidR="00BF068A" w:rsidRDefault="00BF068A" w:rsidP="00BF068A">
      <w:pPr>
        <w:pStyle w:val="BodyText"/>
        <w:jc w:val="both"/>
        <w:rPr>
          <w:rFonts w:ascii="Calisto MT" w:hAnsi="Calisto MT"/>
          <w:sz w:val="24"/>
        </w:rPr>
      </w:pPr>
    </w:p>
    <w:p w:rsidR="00BF068A" w:rsidRPr="00F44BA7" w:rsidRDefault="00BF068A" w:rsidP="00BF068A">
      <w:pPr>
        <w:pStyle w:val="BodyText"/>
        <w:jc w:val="both"/>
        <w:rPr>
          <w:rFonts w:ascii="Calisto MT" w:hAnsi="Calisto MT"/>
          <w:sz w:val="24"/>
        </w:rPr>
      </w:pPr>
      <w:r w:rsidRPr="00F44BA7">
        <w:rPr>
          <w:rFonts w:ascii="Calisto MT" w:hAnsi="Calisto MT"/>
          <w:sz w:val="24"/>
        </w:rPr>
        <w:t>The proposal to add credit-back authority for promotional activities would encourage handers to build upon the</w:t>
      </w:r>
      <w:r>
        <w:rPr>
          <w:rFonts w:ascii="Calisto MT" w:hAnsi="Calisto MT"/>
          <w:sz w:val="24"/>
        </w:rPr>
        <w:t xml:space="preserve"> work the Board is doing by conducting their own activities</w:t>
      </w:r>
      <w:r w:rsidRPr="00F44BA7">
        <w:rPr>
          <w:rFonts w:ascii="Calisto MT" w:hAnsi="Calisto MT"/>
          <w:sz w:val="24"/>
        </w:rPr>
        <w:t xml:space="preserve">. </w:t>
      </w:r>
      <w:r>
        <w:rPr>
          <w:rFonts w:ascii="Calisto MT" w:hAnsi="Calisto MT"/>
          <w:sz w:val="24"/>
        </w:rPr>
        <w:t xml:space="preserve">The </w:t>
      </w:r>
      <w:r w:rsidRPr="00F44BA7">
        <w:rPr>
          <w:rFonts w:ascii="Calisto MT" w:hAnsi="Calisto MT"/>
          <w:sz w:val="24"/>
        </w:rPr>
        <w:t>credit-back program would allow for the handlers to promote their brands through the various activities (i.e. adverting, promotion, etc.)</w:t>
      </w:r>
      <w:r>
        <w:rPr>
          <w:rFonts w:ascii="Calisto MT" w:hAnsi="Calisto MT"/>
          <w:sz w:val="24"/>
        </w:rPr>
        <w:t xml:space="preserve"> in addition to the generic work the Board does</w:t>
      </w:r>
      <w:r w:rsidRPr="00F44BA7">
        <w:rPr>
          <w:rFonts w:ascii="Calisto MT" w:hAnsi="Calisto MT"/>
          <w:sz w:val="24"/>
        </w:rPr>
        <w:t xml:space="preserve">.  Overall activities are similar however; the brand have the ability to market their products/brands, that </w:t>
      </w:r>
      <w:r w:rsidRPr="00F44BA7">
        <w:rPr>
          <w:rFonts w:ascii="Calisto MT" w:hAnsi="Calisto MT"/>
          <w:sz w:val="24"/>
        </w:rPr>
        <w:lastRenderedPageBreak/>
        <w:t xml:space="preserve">which the CWB does not.   Similar programs are </w:t>
      </w:r>
      <w:r>
        <w:rPr>
          <w:rFonts w:ascii="Calisto MT" w:hAnsi="Calisto MT"/>
          <w:sz w:val="24"/>
        </w:rPr>
        <w:t xml:space="preserve">used </w:t>
      </w:r>
      <w:r w:rsidRPr="00F44BA7">
        <w:rPr>
          <w:rFonts w:ascii="Calisto MT" w:hAnsi="Calisto MT"/>
          <w:sz w:val="24"/>
        </w:rPr>
        <w:t xml:space="preserve">successfully by the Almond Board and the Prune Board. </w:t>
      </w:r>
    </w:p>
    <w:p w:rsidR="00BF068A" w:rsidRPr="00DA5A2B" w:rsidRDefault="00BF068A" w:rsidP="00BF068A">
      <w:pPr>
        <w:jc w:val="both"/>
        <w:rPr>
          <w:rFonts w:ascii="Calisto MT" w:hAnsi="Calisto MT"/>
        </w:rPr>
      </w:pPr>
    </w:p>
    <w:p w:rsidR="00BF068A" w:rsidRDefault="00BF068A" w:rsidP="00BF068A">
      <w:pPr>
        <w:pStyle w:val="BodyText2"/>
        <w:jc w:val="both"/>
        <w:rPr>
          <w:rFonts w:ascii="Calisto MT" w:hAnsi="Calisto MT"/>
          <w:color w:val="5B9BD5" w:themeColor="accent1"/>
          <w:sz w:val="24"/>
        </w:rPr>
      </w:pPr>
      <w:r w:rsidRPr="00DA5A2B">
        <w:rPr>
          <w:rFonts w:ascii="Calisto MT" w:hAnsi="Calisto MT"/>
          <w:b w:val="0"/>
          <w:bCs w:val="0"/>
          <w:sz w:val="24"/>
        </w:rPr>
        <w:t>The Agricultural Marketing Act of 19</w:t>
      </w:r>
      <w:r>
        <w:rPr>
          <w:rFonts w:ascii="Calisto MT" w:hAnsi="Calisto MT"/>
          <w:b w:val="0"/>
          <w:bCs w:val="0"/>
          <w:sz w:val="24"/>
        </w:rPr>
        <w:t>80</w:t>
      </w:r>
      <w:r w:rsidRPr="00DA5A2B">
        <w:rPr>
          <w:rFonts w:ascii="Calisto MT" w:hAnsi="Calisto MT"/>
          <w:b w:val="0"/>
          <w:bCs w:val="0"/>
          <w:sz w:val="24"/>
        </w:rPr>
        <w:t xml:space="preserve"> provides c</w:t>
      </w:r>
      <w:r>
        <w:rPr>
          <w:rFonts w:ascii="Calisto MT" w:hAnsi="Calisto MT"/>
          <w:b w:val="0"/>
          <w:bCs w:val="0"/>
          <w:sz w:val="24"/>
        </w:rPr>
        <w:t>redit-back authority to walnuts</w:t>
      </w:r>
      <w:r w:rsidRPr="00DA5A2B">
        <w:rPr>
          <w:rFonts w:ascii="Calisto MT" w:hAnsi="Calisto MT"/>
          <w:b w:val="0"/>
          <w:bCs w:val="0"/>
          <w:sz w:val="24"/>
        </w:rPr>
        <w:t>, and other specified commodities.  With this authority, we have purs</w:t>
      </w:r>
      <w:r>
        <w:rPr>
          <w:rFonts w:ascii="Calisto MT" w:hAnsi="Calisto MT"/>
          <w:b w:val="0"/>
          <w:bCs w:val="0"/>
          <w:sz w:val="24"/>
        </w:rPr>
        <w:t>u</w:t>
      </w:r>
      <w:r w:rsidRPr="00DA5A2B">
        <w:rPr>
          <w:rFonts w:ascii="Calisto MT" w:hAnsi="Calisto MT"/>
          <w:b w:val="0"/>
          <w:bCs w:val="0"/>
          <w:sz w:val="24"/>
        </w:rPr>
        <w:t xml:space="preserve">ed the development of </w:t>
      </w:r>
      <w:r>
        <w:rPr>
          <w:rFonts w:ascii="Calisto MT" w:hAnsi="Calisto MT"/>
          <w:b w:val="0"/>
          <w:bCs w:val="0"/>
          <w:sz w:val="24"/>
        </w:rPr>
        <w:t>t</w:t>
      </w:r>
      <w:r w:rsidRPr="00DA5A2B">
        <w:rPr>
          <w:rFonts w:ascii="Calisto MT" w:hAnsi="Calisto MT"/>
          <w:b w:val="0"/>
          <w:bCs w:val="0"/>
          <w:sz w:val="24"/>
        </w:rPr>
        <w:t xml:space="preserve">he proposal </w:t>
      </w:r>
      <w:r>
        <w:rPr>
          <w:rFonts w:ascii="Calisto MT" w:hAnsi="Calisto MT"/>
          <w:b w:val="0"/>
          <w:bCs w:val="0"/>
          <w:sz w:val="24"/>
        </w:rPr>
        <w:t>through</w:t>
      </w:r>
      <w:r w:rsidRPr="00DA5A2B">
        <w:rPr>
          <w:rFonts w:ascii="Calisto MT" w:hAnsi="Calisto MT"/>
          <w:b w:val="0"/>
          <w:bCs w:val="0"/>
          <w:sz w:val="24"/>
        </w:rPr>
        <w:t xml:space="preserve"> the Marketing Order Revision Committee (MORC), who </w:t>
      </w:r>
      <w:r w:rsidRPr="00DA5A2B">
        <w:rPr>
          <w:rFonts w:ascii="Calisto MT" w:hAnsi="Calisto MT"/>
          <w:b w:val="0"/>
          <w:sz w:val="24"/>
        </w:rPr>
        <w:t xml:space="preserve">conducted several meetings where members discussed/debated the merits of the proposed language, possible alternatives, potential benefits, potential costs to staff, and possible compliance issues.  There was </w:t>
      </w:r>
      <w:r>
        <w:rPr>
          <w:rFonts w:ascii="Calisto MT" w:hAnsi="Calisto MT"/>
          <w:b w:val="0"/>
          <w:sz w:val="24"/>
        </w:rPr>
        <w:t>r</w:t>
      </w:r>
      <w:r w:rsidRPr="00DA5A2B">
        <w:rPr>
          <w:rFonts w:ascii="Calisto MT" w:hAnsi="Calisto MT"/>
          <w:b w:val="0"/>
          <w:sz w:val="24"/>
        </w:rPr>
        <w:t>obust discussion regarding the kinds of activities that would be considered “credible expenditures” and the level of reimbursement.</w:t>
      </w:r>
      <w:r>
        <w:rPr>
          <w:rFonts w:ascii="Calisto MT" w:hAnsi="Calisto MT"/>
          <w:b w:val="0"/>
          <w:sz w:val="24"/>
        </w:rPr>
        <w:t xml:space="preserve"> </w:t>
      </w:r>
      <w:r w:rsidRPr="00DA5A2B">
        <w:rPr>
          <w:rFonts w:ascii="Calisto MT" w:hAnsi="Calisto MT"/>
          <w:b w:val="0"/>
          <w:sz w:val="24"/>
        </w:rPr>
        <w:t xml:space="preserve"> The group discussed the potential for including varying rates and determined that could be future language to apply but for now the language reflects a straight-line credit-back for all eligible activities.</w:t>
      </w:r>
    </w:p>
    <w:p w:rsidR="00BF068A" w:rsidRDefault="00BF068A" w:rsidP="00BF068A">
      <w:pPr>
        <w:autoSpaceDE w:val="0"/>
        <w:autoSpaceDN w:val="0"/>
        <w:adjustRightInd w:val="0"/>
        <w:rPr>
          <w:rFonts w:ascii="Calisto MT" w:hAnsi="Calisto MT"/>
          <w:color w:val="0070C0"/>
        </w:rPr>
      </w:pPr>
    </w:p>
    <w:p w:rsidR="00BF068A" w:rsidRPr="00DA5A2B" w:rsidRDefault="00BF068A" w:rsidP="00BF068A">
      <w:pPr>
        <w:pStyle w:val="BodyText2"/>
        <w:jc w:val="both"/>
        <w:rPr>
          <w:rFonts w:ascii="Calisto MT" w:hAnsi="Calisto MT"/>
          <w:b w:val="0"/>
          <w:bCs w:val="0"/>
          <w:sz w:val="24"/>
        </w:rPr>
      </w:pPr>
      <w:r w:rsidRPr="00DA5A2B">
        <w:rPr>
          <w:rFonts w:ascii="Calisto MT" w:hAnsi="Calisto MT"/>
          <w:b w:val="0"/>
          <w:sz w:val="24"/>
        </w:rPr>
        <w:t xml:space="preserve">In regard to implementation - following approval from the Secretary, the CWB would implement the program to become effective the following crop/fiscal year.  Annually, the CWB will establish a budget with annual assessment to be collected including a budget for the credit back program.  The CWB would then communicate to handlers that the credit-back option is available, their pro rata portion of available credit-back funds, and </w:t>
      </w:r>
      <w:r>
        <w:rPr>
          <w:rFonts w:ascii="Calisto MT" w:hAnsi="Calisto MT"/>
          <w:b w:val="0"/>
          <w:sz w:val="24"/>
        </w:rPr>
        <w:t xml:space="preserve">procedures </w:t>
      </w:r>
      <w:r w:rsidRPr="00DA5A2B">
        <w:rPr>
          <w:rFonts w:ascii="Calisto MT" w:hAnsi="Calisto MT"/>
          <w:b w:val="0"/>
          <w:sz w:val="24"/>
        </w:rPr>
        <w:t>on the program and its use, including activities that are eligible for credit-back.</w:t>
      </w:r>
      <w:bookmarkStart w:id="0" w:name="_GoBack"/>
      <w:bookmarkEnd w:id="0"/>
    </w:p>
    <w:sectPr w:rsidR="00BF068A" w:rsidRPr="00DA5A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326" w:rsidRDefault="00B03326" w:rsidP="00BF068A">
      <w:r>
        <w:separator/>
      </w:r>
    </w:p>
  </w:endnote>
  <w:endnote w:type="continuationSeparator" w:id="0">
    <w:p w:rsidR="00B03326" w:rsidRDefault="00B03326" w:rsidP="00BF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326" w:rsidRDefault="00B03326" w:rsidP="00BF068A">
      <w:r>
        <w:separator/>
      </w:r>
    </w:p>
  </w:footnote>
  <w:footnote w:type="continuationSeparator" w:id="0">
    <w:p w:rsidR="00B03326" w:rsidRDefault="00B03326" w:rsidP="00BF06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63FB2"/>
    <w:multiLevelType w:val="hybridMultilevel"/>
    <w:tmpl w:val="B656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BC0628"/>
    <w:multiLevelType w:val="hybridMultilevel"/>
    <w:tmpl w:val="0F6292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68A"/>
    <w:rsid w:val="003235AD"/>
    <w:rsid w:val="009F09B1"/>
    <w:rsid w:val="00B03326"/>
    <w:rsid w:val="00B84EF6"/>
    <w:rsid w:val="00BF068A"/>
    <w:rsid w:val="00C6139A"/>
    <w:rsid w:val="00FE3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E8DCA-B004-406F-BC1F-7DED87D5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68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BF068A"/>
    <w:pPr>
      <w:shd w:val="clear" w:color="auto" w:fill="833C0B" w:themeFill="accent2" w:themeFillShade="80"/>
      <w:spacing w:before="300" w:after="40"/>
      <w:outlineLvl w:val="0"/>
    </w:pPr>
    <w:rPr>
      <w:rFonts w:ascii="Calisto MT" w:hAnsi="Calisto MT"/>
      <w:b/>
      <w:bCs/>
      <w:color w:val="FFFFFF" w:themeColor="background1"/>
      <w:spacing w:val="5"/>
      <w:szCs w:val="32"/>
      <w:lang w:eastAsia="ja-JP"/>
    </w:rPr>
  </w:style>
  <w:style w:type="paragraph" w:styleId="Heading2">
    <w:name w:val="heading 2"/>
    <w:basedOn w:val="Normal"/>
    <w:next w:val="Normal"/>
    <w:link w:val="Heading2Char"/>
    <w:autoRedefine/>
    <w:uiPriority w:val="9"/>
    <w:qFormat/>
    <w:rsid w:val="009F09B1"/>
    <w:pPr>
      <w:pBdr>
        <w:top w:val="single" w:sz="6" w:space="1" w:color="833C0B" w:themeColor="accent2" w:themeShade="80"/>
        <w:left w:val="single" w:sz="48" w:space="1" w:color="833C0B" w:themeColor="accent2" w:themeShade="80"/>
        <w:bottom w:val="single" w:sz="6" w:space="1" w:color="833C0B" w:themeColor="accent2" w:themeShade="80"/>
        <w:right w:val="single" w:sz="6" w:space="1" w:color="833C0B" w:themeColor="accent2" w:themeShade="80"/>
      </w:pBdr>
      <w:spacing w:before="240" w:after="80"/>
      <w:ind w:left="144"/>
      <w:jc w:val="both"/>
      <w:outlineLvl w:val="1"/>
    </w:pPr>
    <w:rPr>
      <w:rFonts w:ascii="Calisto MT" w:hAnsi="Calisto MT"/>
      <w:color w:val="996633"/>
      <w:spacing w:val="5"/>
      <w:szCs w:val="28"/>
      <w:lang w:eastAsia="ja-JP"/>
    </w:rPr>
  </w:style>
  <w:style w:type="paragraph" w:styleId="Heading4">
    <w:name w:val="heading 4"/>
    <w:basedOn w:val="Normal"/>
    <w:next w:val="Normal"/>
    <w:link w:val="Heading4Char"/>
    <w:autoRedefine/>
    <w:uiPriority w:val="9"/>
    <w:unhideWhenUsed/>
    <w:qFormat/>
    <w:rsid w:val="009F09B1"/>
    <w:pPr>
      <w:pBdr>
        <w:bottom w:val="single" w:sz="6" w:space="1" w:color="A6A6A6" w:themeColor="background1" w:themeShade="A6"/>
      </w:pBdr>
      <w:spacing w:before="200" w:after="80"/>
      <w:jc w:val="both"/>
      <w:outlineLvl w:val="3"/>
    </w:pPr>
    <w:rPr>
      <w:rFonts w:ascii="Calisto MT" w:hAnsi="Calisto MT"/>
      <w:color w:val="595959" w:themeColor="text1" w:themeTint="A6"/>
      <w:lang w:eastAsia="ja-JP"/>
    </w:rPr>
  </w:style>
  <w:style w:type="paragraph" w:styleId="Heading5">
    <w:name w:val="heading 5"/>
    <w:basedOn w:val="Normal"/>
    <w:next w:val="Normal"/>
    <w:link w:val="Heading5Char"/>
    <w:autoRedefine/>
    <w:uiPriority w:val="9"/>
    <w:semiHidden/>
    <w:unhideWhenUsed/>
    <w:qFormat/>
    <w:rsid w:val="009F09B1"/>
    <w:pPr>
      <w:pBdr>
        <w:bottom w:val="dashed" w:sz="4" w:space="1" w:color="A6A6A6" w:themeColor="background1" w:themeShade="A6"/>
      </w:pBdr>
      <w:spacing w:before="200" w:after="80"/>
      <w:jc w:val="both"/>
      <w:outlineLvl w:val="4"/>
    </w:pPr>
    <w:rPr>
      <w:rFonts w:ascii="Calisto MT" w:hAnsi="Calisto MT"/>
      <w:color w:val="404040" w:themeColor="text1" w:themeTint="BF"/>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068A"/>
    <w:rPr>
      <w:rFonts w:ascii="Calisto MT" w:eastAsia="Times New Roman" w:hAnsi="Calisto MT" w:cs="Times New Roman"/>
      <w:b/>
      <w:bCs/>
      <w:color w:val="FFFFFF" w:themeColor="background1"/>
      <w:spacing w:val="5"/>
      <w:sz w:val="24"/>
      <w:szCs w:val="32"/>
      <w:shd w:val="clear" w:color="auto" w:fill="833C0B" w:themeFill="accent2" w:themeFillShade="80"/>
      <w:lang w:eastAsia="ja-JP"/>
    </w:rPr>
  </w:style>
  <w:style w:type="character" w:customStyle="1" w:styleId="Heading2Char">
    <w:name w:val="Heading 2 Char"/>
    <w:basedOn w:val="DefaultParagraphFont"/>
    <w:link w:val="Heading2"/>
    <w:uiPriority w:val="9"/>
    <w:rsid w:val="009F09B1"/>
    <w:rPr>
      <w:rFonts w:ascii="Calisto MT" w:hAnsi="Calisto MT" w:cs="Times New Roman"/>
      <w:color w:val="996633"/>
      <w:spacing w:val="5"/>
      <w:szCs w:val="28"/>
      <w:lang w:eastAsia="ja-JP"/>
    </w:rPr>
  </w:style>
  <w:style w:type="character" w:customStyle="1" w:styleId="Heading4Char">
    <w:name w:val="Heading 4 Char"/>
    <w:basedOn w:val="DefaultParagraphFont"/>
    <w:link w:val="Heading4"/>
    <w:uiPriority w:val="9"/>
    <w:rsid w:val="009F09B1"/>
    <w:rPr>
      <w:rFonts w:ascii="Calisto MT" w:hAnsi="Calisto MT" w:cs="Times New Roman"/>
      <w:color w:val="595959" w:themeColor="text1" w:themeTint="A6"/>
      <w:lang w:eastAsia="ja-JP"/>
    </w:rPr>
  </w:style>
  <w:style w:type="character" w:customStyle="1" w:styleId="Heading5Char">
    <w:name w:val="Heading 5 Char"/>
    <w:basedOn w:val="DefaultParagraphFont"/>
    <w:link w:val="Heading5"/>
    <w:uiPriority w:val="9"/>
    <w:semiHidden/>
    <w:rsid w:val="009F09B1"/>
    <w:rPr>
      <w:rFonts w:ascii="Calisto MT" w:hAnsi="Calisto MT" w:cs="Times New Roman"/>
      <w:color w:val="404040" w:themeColor="text1" w:themeTint="BF"/>
      <w:szCs w:val="26"/>
      <w:lang w:eastAsia="ja-JP"/>
    </w:rPr>
  </w:style>
  <w:style w:type="paragraph" w:styleId="Footer">
    <w:name w:val="footer"/>
    <w:basedOn w:val="Normal"/>
    <w:link w:val="FooterChar"/>
    <w:uiPriority w:val="99"/>
    <w:rsid w:val="00BF068A"/>
    <w:pPr>
      <w:tabs>
        <w:tab w:val="center" w:pos="4320"/>
        <w:tab w:val="right" w:pos="8640"/>
      </w:tabs>
    </w:pPr>
  </w:style>
  <w:style w:type="character" w:customStyle="1" w:styleId="FooterChar">
    <w:name w:val="Footer Char"/>
    <w:basedOn w:val="DefaultParagraphFont"/>
    <w:link w:val="Footer"/>
    <w:uiPriority w:val="99"/>
    <w:rsid w:val="00BF068A"/>
    <w:rPr>
      <w:rFonts w:ascii="Times New Roman" w:eastAsia="Times New Roman" w:hAnsi="Times New Roman" w:cs="Times New Roman"/>
      <w:sz w:val="24"/>
      <w:szCs w:val="24"/>
    </w:rPr>
  </w:style>
  <w:style w:type="paragraph" w:styleId="BodyText">
    <w:name w:val="Body Text"/>
    <w:basedOn w:val="Normal"/>
    <w:link w:val="BodyTextChar"/>
    <w:semiHidden/>
    <w:rsid w:val="00BF068A"/>
    <w:rPr>
      <w:rFonts w:ascii="Arial Narrow" w:hAnsi="Arial Narrow"/>
      <w:sz w:val="22"/>
    </w:rPr>
  </w:style>
  <w:style w:type="character" w:customStyle="1" w:styleId="BodyTextChar">
    <w:name w:val="Body Text Char"/>
    <w:basedOn w:val="DefaultParagraphFont"/>
    <w:link w:val="BodyText"/>
    <w:semiHidden/>
    <w:rsid w:val="00BF068A"/>
    <w:rPr>
      <w:rFonts w:ascii="Arial Narrow" w:eastAsia="Times New Roman" w:hAnsi="Arial Narrow" w:cs="Times New Roman"/>
      <w:szCs w:val="24"/>
    </w:rPr>
  </w:style>
  <w:style w:type="paragraph" w:styleId="CommentText">
    <w:name w:val="annotation text"/>
    <w:basedOn w:val="Normal"/>
    <w:link w:val="CommentTextChar"/>
    <w:uiPriority w:val="99"/>
    <w:semiHidden/>
    <w:rsid w:val="00BF068A"/>
    <w:rPr>
      <w:sz w:val="20"/>
      <w:szCs w:val="20"/>
    </w:rPr>
  </w:style>
  <w:style w:type="character" w:customStyle="1" w:styleId="CommentTextChar">
    <w:name w:val="Comment Text Char"/>
    <w:basedOn w:val="DefaultParagraphFont"/>
    <w:link w:val="CommentText"/>
    <w:uiPriority w:val="99"/>
    <w:semiHidden/>
    <w:rsid w:val="00BF068A"/>
    <w:rPr>
      <w:rFonts w:ascii="Times New Roman" w:eastAsia="Times New Roman" w:hAnsi="Times New Roman" w:cs="Times New Roman"/>
      <w:sz w:val="20"/>
      <w:szCs w:val="20"/>
    </w:rPr>
  </w:style>
  <w:style w:type="paragraph" w:styleId="BodyText2">
    <w:name w:val="Body Text 2"/>
    <w:basedOn w:val="Normal"/>
    <w:link w:val="BodyText2Char"/>
    <w:semiHidden/>
    <w:rsid w:val="00BF068A"/>
    <w:rPr>
      <w:rFonts w:ascii="Arial Narrow" w:hAnsi="Arial Narrow"/>
      <w:b/>
      <w:bCs/>
      <w:sz w:val="22"/>
    </w:rPr>
  </w:style>
  <w:style w:type="character" w:customStyle="1" w:styleId="BodyText2Char">
    <w:name w:val="Body Text 2 Char"/>
    <w:basedOn w:val="DefaultParagraphFont"/>
    <w:link w:val="BodyText2"/>
    <w:semiHidden/>
    <w:rsid w:val="00BF068A"/>
    <w:rPr>
      <w:rFonts w:ascii="Arial Narrow" w:eastAsia="Times New Roman" w:hAnsi="Arial Narrow" w:cs="Times New Roman"/>
      <w:b/>
      <w:bCs/>
      <w:szCs w:val="24"/>
    </w:rPr>
  </w:style>
  <w:style w:type="paragraph" w:styleId="ListParagraph">
    <w:name w:val="List Paragraph"/>
    <w:basedOn w:val="Normal"/>
    <w:uiPriority w:val="34"/>
    <w:qFormat/>
    <w:rsid w:val="00BF068A"/>
    <w:pPr>
      <w:ind w:left="720"/>
      <w:contextualSpacing/>
    </w:pPr>
  </w:style>
  <w:style w:type="paragraph" w:styleId="FootnoteText">
    <w:name w:val="footnote text"/>
    <w:basedOn w:val="Normal"/>
    <w:link w:val="FootnoteTextChar"/>
    <w:uiPriority w:val="99"/>
    <w:semiHidden/>
    <w:unhideWhenUsed/>
    <w:rsid w:val="00BF068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F068A"/>
    <w:rPr>
      <w:sz w:val="20"/>
      <w:szCs w:val="20"/>
    </w:rPr>
  </w:style>
  <w:style w:type="character" w:styleId="FootnoteReference">
    <w:name w:val="footnote reference"/>
    <w:basedOn w:val="DefaultParagraphFont"/>
    <w:uiPriority w:val="99"/>
    <w:semiHidden/>
    <w:unhideWhenUsed/>
    <w:rsid w:val="00BF068A"/>
    <w:rPr>
      <w:vertAlign w:val="superscript"/>
    </w:rPr>
  </w:style>
  <w:style w:type="table" w:styleId="PlainTable2">
    <w:name w:val="Plain Table 2"/>
    <w:basedOn w:val="TableNormal"/>
    <w:uiPriority w:val="42"/>
    <w:rsid w:val="00BF06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BF068A"/>
    <w:rPr>
      <w:color w:val="0563C1" w:themeColor="hyperlink"/>
      <w:u w:val="single"/>
    </w:rPr>
  </w:style>
  <w:style w:type="paragraph" w:styleId="NoSpacing">
    <w:name w:val="No Spacing"/>
    <w:uiPriority w:val="1"/>
    <w:qFormat/>
    <w:rsid w:val="00BF06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Connelly</dc:creator>
  <cp:keywords/>
  <dc:description/>
  <cp:lastModifiedBy>Michelle Connelly</cp:lastModifiedBy>
  <cp:revision>3</cp:revision>
  <dcterms:created xsi:type="dcterms:W3CDTF">2020-04-13T23:46:00Z</dcterms:created>
  <dcterms:modified xsi:type="dcterms:W3CDTF">2020-04-14T00:02:00Z</dcterms:modified>
</cp:coreProperties>
</file>