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F8D" w:rsidRPr="00DF069C" w:rsidRDefault="00C83F8D" w:rsidP="00C83F8D">
      <w:pPr>
        <w:pStyle w:val="Heading1"/>
      </w:pPr>
      <w:r>
        <w:t>4</w:t>
      </w:r>
      <w:r w:rsidRPr="00DF069C">
        <w:t xml:space="preserve">) </w:t>
      </w:r>
      <w:r w:rsidRPr="00DF069C">
        <w:tab/>
      </w:r>
      <w:r>
        <w:t xml:space="preserve">Witness – </w:t>
      </w:r>
      <w:r w:rsidRPr="00DF069C">
        <w:t>Rachael Goodhue</w:t>
      </w:r>
    </w:p>
    <w:p w:rsidR="00C83F8D" w:rsidRDefault="00C83F8D" w:rsidP="00C83F8D">
      <w:pPr>
        <w:pStyle w:val="BodyText2"/>
        <w:autoSpaceDE w:val="0"/>
        <w:autoSpaceDN w:val="0"/>
        <w:adjustRightInd w:val="0"/>
        <w:rPr>
          <w:rFonts w:ascii="Times New Roman" w:hAnsi="Times New Roman"/>
          <w:b w:val="0"/>
          <w:bCs w:val="0"/>
          <w:sz w:val="24"/>
        </w:rPr>
      </w:pPr>
    </w:p>
    <w:p w:rsidR="00C83F8D" w:rsidRDefault="00C83F8D" w:rsidP="00C83F8D">
      <w:pPr>
        <w:pStyle w:val="BodyText2"/>
        <w:autoSpaceDE w:val="0"/>
        <w:autoSpaceDN w:val="0"/>
        <w:adjustRightInd w:val="0"/>
        <w:jc w:val="both"/>
        <w:rPr>
          <w:rFonts w:ascii="Times New Roman" w:hAnsi="Times New Roman"/>
          <w:b w:val="0"/>
          <w:bCs w:val="0"/>
          <w:sz w:val="24"/>
        </w:rPr>
      </w:pPr>
      <w:r>
        <w:rPr>
          <w:rFonts w:ascii="Times New Roman" w:hAnsi="Times New Roman"/>
          <w:b w:val="0"/>
          <w:bCs w:val="0"/>
          <w:sz w:val="24"/>
        </w:rPr>
        <w:t>My name is Rachael Goodhue R-A-C-H-A-E-L G-O-O-D-H-U-E.  I am a professor and department chair in the Department of Agricultural and Resource Economics at the University of California, Davis. I have worked there since 1998, after earning my Ph.D. in agricultural and resource economics at the University of California, Berkeley.</w:t>
      </w:r>
    </w:p>
    <w:p w:rsidR="00C83F8D" w:rsidRDefault="00C83F8D" w:rsidP="00C83F8D">
      <w:pPr>
        <w:pStyle w:val="BodyText2"/>
        <w:autoSpaceDE w:val="0"/>
        <w:autoSpaceDN w:val="0"/>
        <w:adjustRightInd w:val="0"/>
        <w:jc w:val="both"/>
        <w:rPr>
          <w:rFonts w:ascii="Times New Roman" w:hAnsi="Times New Roman"/>
          <w:b w:val="0"/>
          <w:bCs w:val="0"/>
          <w:sz w:val="24"/>
        </w:rPr>
      </w:pPr>
    </w:p>
    <w:p w:rsidR="00C83F8D" w:rsidRPr="00C91450" w:rsidRDefault="00C83F8D" w:rsidP="00C83F8D">
      <w:pPr>
        <w:pStyle w:val="BodyText2"/>
        <w:autoSpaceDE w:val="0"/>
        <w:autoSpaceDN w:val="0"/>
        <w:adjustRightInd w:val="0"/>
        <w:jc w:val="both"/>
        <w:rPr>
          <w:rFonts w:ascii="Times New Roman" w:hAnsi="Times New Roman"/>
          <w:b w:val="0"/>
          <w:bCs w:val="0"/>
          <w:sz w:val="24"/>
        </w:rPr>
      </w:pPr>
      <w:r w:rsidRPr="00C91450">
        <w:rPr>
          <w:rFonts w:ascii="Times New Roman" w:hAnsi="Times New Roman"/>
          <w:b w:val="0"/>
          <w:bCs w:val="0"/>
          <w:sz w:val="24"/>
        </w:rPr>
        <w:t>Advertising and promotion activities are predicted by economic theory to increase demand for the advertised prod</w:t>
      </w:r>
      <w:r w:rsidRPr="009478A4">
        <w:rPr>
          <w:rFonts w:ascii="Times New Roman" w:hAnsi="Times New Roman"/>
          <w:b w:val="0"/>
          <w:bCs w:val="0"/>
          <w:sz w:val="24"/>
        </w:rPr>
        <w:t>uct.  This prediction is supported by empirical analyses of advertising and promotion activities for individual agricultural commodities (see for example, the studies</w:t>
      </w:r>
      <w:r>
        <w:rPr>
          <w:rFonts w:ascii="Times New Roman" w:hAnsi="Times New Roman"/>
          <w:b w:val="0"/>
          <w:bCs w:val="0"/>
          <w:sz w:val="24"/>
        </w:rPr>
        <w:t xml:space="preserve"> of California commodities</w:t>
      </w:r>
      <w:r w:rsidRPr="009478A4">
        <w:rPr>
          <w:rFonts w:ascii="Times New Roman" w:hAnsi="Times New Roman"/>
          <w:b w:val="0"/>
          <w:bCs w:val="0"/>
          <w:sz w:val="24"/>
        </w:rPr>
        <w:t xml:space="preserve"> in Kaiser et al. (2005).</w:t>
      </w:r>
      <w:r w:rsidRPr="009478A4">
        <w:rPr>
          <w:rStyle w:val="FootnoteReference"/>
          <w:rFonts w:ascii="Times New Roman" w:hAnsi="Times New Roman"/>
          <w:b w:val="0"/>
          <w:bCs w:val="0"/>
          <w:sz w:val="24"/>
        </w:rPr>
        <w:footnoteReference w:id="1"/>
      </w:r>
      <w:r w:rsidRPr="009478A4">
        <w:rPr>
          <w:rFonts w:ascii="Times New Roman" w:hAnsi="Times New Roman"/>
          <w:b w:val="0"/>
          <w:bCs w:val="0"/>
          <w:sz w:val="24"/>
        </w:rPr>
        <w:t xml:space="preserve">  The increase in demand is an outward “shift” that increases the price for any quantity sold and in</w:t>
      </w:r>
      <w:r w:rsidRPr="00C91450">
        <w:rPr>
          <w:rFonts w:ascii="Times New Roman" w:hAnsi="Times New Roman"/>
          <w:b w:val="0"/>
          <w:bCs w:val="0"/>
          <w:sz w:val="24"/>
        </w:rPr>
        <w:t xml:space="preserve">creases the quantity sold at any given price.  Handler-led marketing investment is expected to increase total industry expenditures on advertising and promotion.   Consequently, </w:t>
      </w:r>
      <w:r w:rsidRPr="00C91450">
        <w:rPr>
          <w:rFonts w:ascii="Times New Roman" w:hAnsi="Times New Roman"/>
          <w:b w:val="0"/>
          <w:sz w:val="24"/>
        </w:rPr>
        <w:t xml:space="preserve">net returns and </w:t>
      </w:r>
      <w:r w:rsidRPr="00C91450">
        <w:rPr>
          <w:rFonts w:ascii="Times New Roman" w:hAnsi="Times New Roman"/>
          <w:b w:val="0"/>
          <w:bCs w:val="0"/>
          <w:sz w:val="24"/>
        </w:rPr>
        <w:t>gross revenues to producers and handlers are expected to increase.</w:t>
      </w:r>
      <w:r w:rsidRPr="00C91450">
        <w:rPr>
          <w:rStyle w:val="FootnoteReference"/>
          <w:rFonts w:ascii="Times New Roman" w:hAnsi="Times New Roman"/>
          <w:b w:val="0"/>
          <w:bCs w:val="0"/>
          <w:sz w:val="24"/>
        </w:rPr>
        <w:footnoteReference w:id="2"/>
      </w:r>
      <w:r w:rsidRPr="00C91450">
        <w:rPr>
          <w:rFonts w:ascii="Times New Roman" w:hAnsi="Times New Roman"/>
          <w:b w:val="0"/>
          <w:bCs w:val="0"/>
          <w:sz w:val="24"/>
        </w:rPr>
        <w:t xml:space="preserve">  </w:t>
      </w:r>
    </w:p>
    <w:p w:rsidR="00C83F8D" w:rsidRPr="00C91450" w:rsidRDefault="00C83F8D" w:rsidP="00C83F8D">
      <w:pPr>
        <w:pStyle w:val="BodyText2"/>
        <w:autoSpaceDE w:val="0"/>
        <w:autoSpaceDN w:val="0"/>
        <w:adjustRightInd w:val="0"/>
        <w:jc w:val="both"/>
        <w:rPr>
          <w:rFonts w:ascii="Times New Roman" w:hAnsi="Times New Roman"/>
          <w:b w:val="0"/>
          <w:bCs w:val="0"/>
          <w:sz w:val="24"/>
        </w:rPr>
      </w:pPr>
    </w:p>
    <w:p w:rsidR="00C83F8D" w:rsidRPr="00C91450" w:rsidRDefault="00C83F8D" w:rsidP="00C83F8D">
      <w:pPr>
        <w:pStyle w:val="BodyText2"/>
        <w:autoSpaceDE w:val="0"/>
        <w:autoSpaceDN w:val="0"/>
        <w:adjustRightInd w:val="0"/>
        <w:jc w:val="both"/>
        <w:rPr>
          <w:rFonts w:ascii="Times New Roman" w:hAnsi="Times New Roman"/>
          <w:b w:val="0"/>
          <w:sz w:val="24"/>
        </w:rPr>
      </w:pPr>
      <w:r>
        <w:rPr>
          <w:rFonts w:ascii="Times New Roman" w:hAnsi="Times New Roman"/>
          <w:b w:val="0"/>
          <w:sz w:val="24"/>
        </w:rPr>
        <w:t>Consumer surplus is the benefit that consumers obtain from purchasing walnuts less the cost of purchase.</w:t>
      </w:r>
      <w:r w:rsidRPr="00C91450">
        <w:rPr>
          <w:rFonts w:ascii="Times New Roman" w:hAnsi="Times New Roman"/>
          <w:b w:val="0"/>
          <w:sz w:val="24"/>
        </w:rPr>
        <w:t xml:space="preserve">  An outward demand shift indicates that consumers would benefit.</w:t>
      </w:r>
      <w:r>
        <w:rPr>
          <w:rFonts w:ascii="Times New Roman" w:hAnsi="Times New Roman"/>
          <w:b w:val="0"/>
          <w:sz w:val="24"/>
        </w:rPr>
        <w:t xml:space="preserve">  </w:t>
      </w:r>
      <w:r w:rsidRPr="00C91450">
        <w:rPr>
          <w:rFonts w:ascii="Times New Roman" w:hAnsi="Times New Roman"/>
          <w:b w:val="0"/>
          <w:sz w:val="24"/>
        </w:rPr>
        <w:t>Because the aggregate quantity demanded at each price increases, consumers reveal that they increase their consumer surplus by purchasing more walnuts given the price of walnuts and other goods available to them and their incomes.  If consumers did not benefit, they simply wouldn’t demand more at specific price as a result of the handler-led advertising investments and demand would not shift out.  Consumers, in other words, would benefit or be unaffected by the program.</w:t>
      </w:r>
      <w:r w:rsidRPr="00C91450">
        <w:rPr>
          <w:rStyle w:val="FootnoteReference"/>
          <w:rFonts w:ascii="Times New Roman" w:hAnsi="Times New Roman"/>
          <w:b w:val="0"/>
          <w:sz w:val="24"/>
        </w:rPr>
        <w:footnoteReference w:id="3"/>
      </w:r>
    </w:p>
    <w:p w:rsidR="00C83F8D" w:rsidRPr="00C91450" w:rsidRDefault="00C83F8D" w:rsidP="00C83F8D">
      <w:pPr>
        <w:pStyle w:val="BodyText2"/>
        <w:autoSpaceDE w:val="0"/>
        <w:autoSpaceDN w:val="0"/>
        <w:adjustRightInd w:val="0"/>
        <w:jc w:val="both"/>
        <w:rPr>
          <w:rFonts w:ascii="Times New Roman" w:hAnsi="Times New Roman"/>
          <w:b w:val="0"/>
          <w:sz w:val="24"/>
        </w:rPr>
      </w:pPr>
    </w:p>
    <w:p w:rsidR="00C83F8D" w:rsidRDefault="00C83F8D" w:rsidP="00C83F8D">
      <w:pPr>
        <w:pStyle w:val="BodyText2"/>
        <w:autoSpaceDE w:val="0"/>
        <w:autoSpaceDN w:val="0"/>
        <w:adjustRightInd w:val="0"/>
        <w:jc w:val="both"/>
        <w:rPr>
          <w:rFonts w:ascii="Times New Roman" w:hAnsi="Times New Roman"/>
          <w:b w:val="0"/>
          <w:sz w:val="24"/>
        </w:rPr>
      </w:pPr>
      <w:r w:rsidRPr="004A3548">
        <w:rPr>
          <w:rFonts w:ascii="Times New Roman" w:hAnsi="Times New Roman"/>
          <w:b w:val="0"/>
          <w:sz w:val="24"/>
        </w:rPr>
        <w:t>Figure 1, entered as an exhibit, illustrates the effects of a demand shift on producers and handlers and consumers.   The quantity produced and sold is on the horizontal axis, an</w:t>
      </w:r>
      <w:r>
        <w:rPr>
          <w:rFonts w:ascii="Times New Roman" w:hAnsi="Times New Roman"/>
          <w:b w:val="0"/>
          <w:sz w:val="24"/>
        </w:rPr>
        <w:t>d the price is on the vertical</w:t>
      </w:r>
      <w:r w:rsidRPr="004A3548">
        <w:rPr>
          <w:rFonts w:ascii="Times New Roman" w:hAnsi="Times New Roman"/>
          <w:b w:val="0"/>
          <w:sz w:val="24"/>
        </w:rPr>
        <w:t xml:space="preserve"> axis. The solid</w:t>
      </w:r>
      <w:r>
        <w:rPr>
          <w:rFonts w:ascii="Times New Roman" w:hAnsi="Times New Roman"/>
          <w:b w:val="0"/>
          <w:sz w:val="24"/>
        </w:rPr>
        <w:t xml:space="preserve"> red line represents the initial (inverse) demand curve. For any quantity, the demand curve plots the price at which consumers will purchase that amount. The blue line represents the (inverse) supply curve.  It plots the price for which industry will supply any given quantity.  The initial market equilibrium is where the demand and supply curves cross: at that point consumers are willing to buy the same quantity as industry is willing to supply at that price.  Consumer surplus, the benefit consumers obtain above what they pay, is the area below the demand curve and above the price line, represented by the dotted line.  Producer surplus (returns over fixed costs) is the area above the supply curve and below the price line.</w:t>
      </w:r>
    </w:p>
    <w:p w:rsidR="00C83F8D" w:rsidRDefault="00C83F8D" w:rsidP="00C83F8D">
      <w:pPr>
        <w:pStyle w:val="BodyText2"/>
        <w:autoSpaceDE w:val="0"/>
        <w:autoSpaceDN w:val="0"/>
        <w:adjustRightInd w:val="0"/>
        <w:jc w:val="both"/>
        <w:rPr>
          <w:rFonts w:ascii="Times New Roman" w:hAnsi="Times New Roman"/>
          <w:b w:val="0"/>
          <w:sz w:val="24"/>
        </w:rPr>
      </w:pPr>
    </w:p>
    <w:p w:rsidR="00C83F8D" w:rsidRDefault="00C83F8D" w:rsidP="00C83F8D">
      <w:pPr>
        <w:pStyle w:val="BodyText2"/>
        <w:autoSpaceDE w:val="0"/>
        <w:autoSpaceDN w:val="0"/>
        <w:adjustRightInd w:val="0"/>
        <w:jc w:val="both"/>
        <w:rPr>
          <w:rFonts w:ascii="Times New Roman" w:hAnsi="Times New Roman"/>
          <w:b w:val="0"/>
          <w:sz w:val="24"/>
        </w:rPr>
      </w:pPr>
      <w:r>
        <w:rPr>
          <w:rFonts w:ascii="Times New Roman" w:hAnsi="Times New Roman"/>
          <w:b w:val="0"/>
          <w:sz w:val="24"/>
        </w:rPr>
        <w:t>The dashed red line represents an outward shift in the demand curve, or an increase in demand.  Notice that consumers are willing to pay a higher price for any given quantity.  The quantity sold and the price increase relative to the initial equilibrium, as shown by the intersection of the new demand curve and the supply curve and the red arrows on the horizontal and vertical axes.  Thus, an increase in demand due to increased advertising and promotion in a credit-back program would increase both industry and consumer welfare.</w:t>
      </w:r>
    </w:p>
    <w:p w:rsidR="00C83F8D" w:rsidRDefault="00C83F8D" w:rsidP="00C83F8D">
      <w:pPr>
        <w:pStyle w:val="BodyText2"/>
        <w:autoSpaceDE w:val="0"/>
        <w:autoSpaceDN w:val="0"/>
        <w:adjustRightInd w:val="0"/>
        <w:jc w:val="both"/>
        <w:rPr>
          <w:rFonts w:ascii="Times New Roman" w:hAnsi="Times New Roman"/>
          <w:b w:val="0"/>
          <w:sz w:val="24"/>
        </w:rPr>
      </w:pPr>
    </w:p>
    <w:p w:rsidR="00C83F8D" w:rsidRDefault="00C83F8D" w:rsidP="00C83F8D">
      <w:pPr>
        <w:pStyle w:val="BodyText2"/>
        <w:autoSpaceDE w:val="0"/>
        <w:autoSpaceDN w:val="0"/>
        <w:adjustRightInd w:val="0"/>
        <w:jc w:val="both"/>
        <w:rPr>
          <w:rFonts w:ascii="Times New Roman" w:hAnsi="Times New Roman"/>
          <w:b w:val="0"/>
          <w:sz w:val="24"/>
        </w:rPr>
      </w:pPr>
      <w:r>
        <w:rPr>
          <w:rFonts w:ascii="Times New Roman" w:hAnsi="Times New Roman"/>
          <w:b w:val="0"/>
          <w:sz w:val="24"/>
        </w:rPr>
        <w:t>Figure 1 holds the supply curve constant. However, the 2017 California Walnut Acreage Report (the most recent available), reported 65,000 non-bearing acres and 365,000 bearing acres.</w:t>
      </w:r>
      <w:r>
        <w:rPr>
          <w:rStyle w:val="FootnoteReference"/>
          <w:rFonts w:ascii="Times New Roman" w:hAnsi="Times New Roman"/>
          <w:b w:val="0"/>
          <w:sz w:val="24"/>
        </w:rPr>
        <w:footnoteReference w:id="4"/>
      </w:r>
      <w:r>
        <w:rPr>
          <w:rFonts w:ascii="Times New Roman" w:hAnsi="Times New Roman"/>
          <w:b w:val="0"/>
          <w:sz w:val="24"/>
        </w:rPr>
        <w:t xml:space="preserve">  Total walnut acreage has been steadily increasing since 2011, implying that bearing acres are not being removed as quickly as acres are being planted.  Non-bearing acreage has also increased, suggesting that there will be a substantial increase in supply within the next few years.  Figure 2, entered as an exhibit, illustrates the case where supply increases, </w:t>
      </w:r>
      <w:r w:rsidRPr="002B6A96">
        <w:rPr>
          <w:rFonts w:ascii="Times New Roman" w:hAnsi="Times New Roman"/>
          <w:b w:val="0"/>
          <w:i/>
          <w:sz w:val="24"/>
        </w:rPr>
        <w:t>holding demand constant</w:t>
      </w:r>
      <w:r>
        <w:rPr>
          <w:rFonts w:ascii="Times New Roman" w:hAnsi="Times New Roman"/>
          <w:b w:val="0"/>
          <w:sz w:val="24"/>
        </w:rPr>
        <w:t xml:space="preserve">. Comparing the market quantity and price for the original (solid blue) and increased (dashed blue) supply curves, the quantity sold increases and price declines. That is, in the absence of a demand shift the increase in bearing acreage would reduce price, all else equal. Consumer surplus would increase because consumers would purchase more at a lower price.  Producer surplus may increase or decrease depending on demand, supply, and the nature of the increase in supply; in the figure it increases.  </w:t>
      </w:r>
    </w:p>
    <w:p w:rsidR="00C83F8D" w:rsidRDefault="00C83F8D" w:rsidP="00C83F8D">
      <w:pPr>
        <w:pStyle w:val="BodyText2"/>
        <w:autoSpaceDE w:val="0"/>
        <w:autoSpaceDN w:val="0"/>
        <w:adjustRightInd w:val="0"/>
        <w:jc w:val="both"/>
        <w:rPr>
          <w:rFonts w:ascii="Times New Roman" w:hAnsi="Times New Roman"/>
          <w:b w:val="0"/>
          <w:sz w:val="24"/>
        </w:rPr>
      </w:pPr>
    </w:p>
    <w:p w:rsidR="00C83F8D" w:rsidRDefault="00C83F8D" w:rsidP="00C83F8D">
      <w:pPr>
        <w:pStyle w:val="BodyText2"/>
        <w:autoSpaceDE w:val="0"/>
        <w:autoSpaceDN w:val="0"/>
        <w:adjustRightInd w:val="0"/>
        <w:jc w:val="both"/>
        <w:rPr>
          <w:rFonts w:ascii="Times New Roman" w:hAnsi="Times New Roman"/>
          <w:b w:val="0"/>
          <w:sz w:val="24"/>
        </w:rPr>
      </w:pPr>
      <w:r>
        <w:rPr>
          <w:rFonts w:ascii="Times New Roman" w:hAnsi="Times New Roman"/>
          <w:b w:val="0"/>
          <w:sz w:val="24"/>
        </w:rPr>
        <w:t xml:space="preserve">Figure 3, entered as an exhibit, illustrates what could be the net effect of an increase in demand and an increase in supply.  As in the previous two figures, the initial market equilibrium is where the two solid lines intersect.  The new market equilibrium is at the intersection of the increased demand curve and the increased supply curve, denoted by the two dashed lines.  In this case, the quantity exchanged increases substantially, and price increases as well. Consumer and producer surplus both increase in the figure.  Depending on the nature of the shifts in supply and demand, the observed price may </w:t>
      </w:r>
      <w:proofErr w:type="gramStart"/>
      <w:r>
        <w:rPr>
          <w:rFonts w:ascii="Times New Roman" w:hAnsi="Times New Roman"/>
          <w:b w:val="0"/>
          <w:sz w:val="24"/>
        </w:rPr>
        <w:t>actually decline</w:t>
      </w:r>
      <w:proofErr w:type="gramEnd"/>
      <w:r>
        <w:rPr>
          <w:rFonts w:ascii="Times New Roman" w:hAnsi="Times New Roman"/>
          <w:b w:val="0"/>
          <w:sz w:val="24"/>
        </w:rPr>
        <w:t xml:space="preserve">, as may producer surplus.  </w:t>
      </w:r>
      <w:r w:rsidRPr="00317334">
        <w:rPr>
          <w:rFonts w:ascii="Times New Roman" w:hAnsi="Times New Roman"/>
          <w:b w:val="0"/>
          <w:i/>
          <w:sz w:val="24"/>
        </w:rPr>
        <w:t>However, the</w:t>
      </w:r>
      <w:r>
        <w:rPr>
          <w:rFonts w:ascii="Times New Roman" w:hAnsi="Times New Roman"/>
          <w:b w:val="0"/>
          <w:i/>
          <w:sz w:val="24"/>
        </w:rPr>
        <w:t xml:space="preserve"> observed</w:t>
      </w:r>
      <w:r w:rsidRPr="00317334">
        <w:rPr>
          <w:rFonts w:ascii="Times New Roman" w:hAnsi="Times New Roman"/>
          <w:b w:val="0"/>
          <w:i/>
          <w:sz w:val="24"/>
        </w:rPr>
        <w:t xml:space="preserve"> price</w:t>
      </w:r>
      <w:r>
        <w:rPr>
          <w:rFonts w:ascii="Times New Roman" w:hAnsi="Times New Roman"/>
          <w:b w:val="0"/>
          <w:i/>
          <w:sz w:val="24"/>
        </w:rPr>
        <w:t xml:space="preserve"> will always be higher than the price</w:t>
      </w:r>
      <w:r w:rsidRPr="00317334">
        <w:rPr>
          <w:rFonts w:ascii="Times New Roman" w:hAnsi="Times New Roman"/>
          <w:b w:val="0"/>
          <w:i/>
          <w:sz w:val="24"/>
        </w:rPr>
        <w:t xml:space="preserve"> would have been if demand did not increase</w:t>
      </w:r>
      <w:r>
        <w:rPr>
          <w:rFonts w:ascii="Times New Roman" w:hAnsi="Times New Roman"/>
          <w:b w:val="0"/>
          <w:sz w:val="24"/>
        </w:rPr>
        <w:t xml:space="preserve">. An increase in demand due to handler-led marketing investments in advertising and promotion would increase the market price.     </w:t>
      </w:r>
    </w:p>
    <w:p w:rsidR="00C83F8D" w:rsidRPr="001D5AB3" w:rsidRDefault="00C83F8D" w:rsidP="00C83F8D">
      <w:pPr>
        <w:pStyle w:val="BodyText2"/>
        <w:autoSpaceDE w:val="0"/>
        <w:autoSpaceDN w:val="0"/>
        <w:adjustRightInd w:val="0"/>
        <w:jc w:val="both"/>
        <w:rPr>
          <w:rFonts w:ascii="Times New Roman" w:hAnsi="Times New Roman"/>
          <w:b w:val="0"/>
          <w:bCs w:val="0"/>
          <w:sz w:val="24"/>
        </w:rPr>
      </w:pPr>
    </w:p>
    <w:p w:rsidR="00C83F8D" w:rsidRPr="00C91450" w:rsidRDefault="00C83F8D" w:rsidP="00C83F8D">
      <w:pPr>
        <w:pStyle w:val="CommentText"/>
        <w:contextualSpacing/>
        <w:jc w:val="both"/>
        <w:rPr>
          <w:b/>
          <w:sz w:val="24"/>
          <w:szCs w:val="24"/>
        </w:rPr>
      </w:pPr>
      <w:r w:rsidRPr="00C91450">
        <w:rPr>
          <w:b/>
          <w:sz w:val="24"/>
          <w:szCs w:val="24"/>
        </w:rPr>
        <w:t>Effect on returns to producers and handlers</w:t>
      </w:r>
    </w:p>
    <w:p w:rsidR="00C83F8D" w:rsidRDefault="00C83F8D" w:rsidP="00C83F8D">
      <w:pPr>
        <w:pStyle w:val="BodyText2"/>
        <w:autoSpaceDE w:val="0"/>
        <w:autoSpaceDN w:val="0"/>
        <w:adjustRightInd w:val="0"/>
        <w:jc w:val="both"/>
        <w:rPr>
          <w:rFonts w:ascii="Times New Roman" w:hAnsi="Times New Roman"/>
          <w:b w:val="0"/>
          <w:sz w:val="24"/>
        </w:rPr>
      </w:pPr>
      <w:r w:rsidRPr="00C91450">
        <w:rPr>
          <w:rFonts w:ascii="Times New Roman" w:hAnsi="Times New Roman"/>
          <w:b w:val="0"/>
          <w:sz w:val="24"/>
        </w:rPr>
        <w:t>Over time, the CWB would expect the credit-back program to increase returns through shifting out market demand.  Credit-back is a tool that would enable the CWB to leverage assessment funds into greater total advertising and promotion activity by encouraging handler investment in advertising and promotion.  Handler-led advertising and promotional activities are anticipated to shift out demand as discussed above.</w:t>
      </w:r>
      <w:r>
        <w:rPr>
          <w:rFonts w:ascii="Times New Roman" w:hAnsi="Times New Roman"/>
          <w:b w:val="0"/>
          <w:sz w:val="24"/>
        </w:rPr>
        <w:t xml:space="preserve"> </w:t>
      </w:r>
      <w:r w:rsidRPr="00C91450">
        <w:rPr>
          <w:rFonts w:ascii="Times New Roman" w:hAnsi="Times New Roman"/>
          <w:b w:val="0"/>
          <w:sz w:val="24"/>
        </w:rPr>
        <w:t xml:space="preserve">Regardless of </w:t>
      </w:r>
      <w:proofErr w:type="gramStart"/>
      <w:r w:rsidRPr="00C91450">
        <w:rPr>
          <w:rFonts w:ascii="Times New Roman" w:hAnsi="Times New Roman"/>
          <w:b w:val="0"/>
          <w:sz w:val="24"/>
        </w:rPr>
        <w:t>whether or not</w:t>
      </w:r>
      <w:proofErr w:type="gramEnd"/>
      <w:r w:rsidRPr="00C91450">
        <w:rPr>
          <w:rFonts w:ascii="Times New Roman" w:hAnsi="Times New Roman"/>
          <w:b w:val="0"/>
          <w:sz w:val="24"/>
        </w:rPr>
        <w:t xml:space="preserve"> a producer sells to a handler that utilizes the credit-back program he will benefit from the</w:t>
      </w:r>
      <w:r>
        <w:rPr>
          <w:rFonts w:ascii="Times New Roman" w:hAnsi="Times New Roman"/>
          <w:b w:val="0"/>
          <w:sz w:val="24"/>
        </w:rPr>
        <w:t xml:space="preserve"> demand shift</w:t>
      </w:r>
      <w:r w:rsidRPr="00C91450">
        <w:rPr>
          <w:rFonts w:ascii="Times New Roman" w:hAnsi="Times New Roman"/>
          <w:b w:val="0"/>
          <w:sz w:val="24"/>
        </w:rPr>
        <w:t xml:space="preserve">.  </w:t>
      </w:r>
    </w:p>
    <w:p w:rsidR="00C83F8D" w:rsidRDefault="00C83F8D" w:rsidP="00C83F8D">
      <w:pPr>
        <w:pStyle w:val="BodyText2"/>
        <w:autoSpaceDE w:val="0"/>
        <w:autoSpaceDN w:val="0"/>
        <w:adjustRightInd w:val="0"/>
        <w:jc w:val="both"/>
        <w:rPr>
          <w:rFonts w:ascii="Times New Roman" w:hAnsi="Times New Roman"/>
          <w:b w:val="0"/>
          <w:sz w:val="24"/>
        </w:rPr>
      </w:pPr>
    </w:p>
    <w:p w:rsidR="00C83F8D" w:rsidRDefault="00C83F8D" w:rsidP="00C83F8D">
      <w:pPr>
        <w:pStyle w:val="BodyText2"/>
        <w:autoSpaceDE w:val="0"/>
        <w:autoSpaceDN w:val="0"/>
        <w:adjustRightInd w:val="0"/>
        <w:jc w:val="both"/>
        <w:rPr>
          <w:rFonts w:ascii="Times New Roman" w:hAnsi="Times New Roman"/>
          <w:b w:val="0"/>
          <w:sz w:val="24"/>
        </w:rPr>
      </w:pPr>
      <w:r>
        <w:rPr>
          <w:rFonts w:ascii="Times New Roman" w:hAnsi="Times New Roman"/>
          <w:b w:val="0"/>
          <w:sz w:val="24"/>
        </w:rPr>
        <w:t>H</w:t>
      </w:r>
      <w:r w:rsidRPr="00C91450">
        <w:rPr>
          <w:rFonts w:ascii="Times New Roman" w:hAnsi="Times New Roman"/>
          <w:b w:val="0"/>
          <w:sz w:val="24"/>
        </w:rPr>
        <w:t>andler-led</w:t>
      </w:r>
      <w:r>
        <w:rPr>
          <w:rFonts w:ascii="Times New Roman" w:hAnsi="Times New Roman"/>
          <w:b w:val="0"/>
          <w:sz w:val="24"/>
        </w:rPr>
        <w:t xml:space="preserve"> investments would</w:t>
      </w:r>
      <w:r w:rsidRPr="00C91450">
        <w:rPr>
          <w:rFonts w:ascii="Times New Roman" w:hAnsi="Times New Roman"/>
          <w:b w:val="0"/>
          <w:sz w:val="24"/>
        </w:rPr>
        <w:t xml:space="preserve"> provide for additional </w:t>
      </w:r>
      <w:r>
        <w:rPr>
          <w:rFonts w:ascii="Times New Roman" w:hAnsi="Times New Roman"/>
          <w:b w:val="0"/>
          <w:sz w:val="24"/>
        </w:rPr>
        <w:t xml:space="preserve">consumer </w:t>
      </w:r>
      <w:r w:rsidRPr="00C91450">
        <w:rPr>
          <w:rFonts w:ascii="Times New Roman" w:hAnsi="Times New Roman"/>
          <w:b w:val="0"/>
          <w:sz w:val="24"/>
        </w:rPr>
        <w:t>awareness of walnuts,</w:t>
      </w:r>
      <w:r>
        <w:rPr>
          <w:rFonts w:ascii="Times New Roman" w:hAnsi="Times New Roman"/>
          <w:b w:val="0"/>
          <w:sz w:val="24"/>
        </w:rPr>
        <w:t xml:space="preserve"> increasing demand and, all else equal,</w:t>
      </w:r>
      <w:r w:rsidRPr="00C91450">
        <w:rPr>
          <w:rFonts w:ascii="Times New Roman" w:hAnsi="Times New Roman"/>
          <w:b w:val="0"/>
          <w:sz w:val="24"/>
        </w:rPr>
        <w:t xml:space="preserve"> enhancing prices.  The proposed credit-back program would require handlers </w:t>
      </w:r>
      <w:r w:rsidRPr="009478A4">
        <w:rPr>
          <w:rFonts w:ascii="Times New Roman" w:hAnsi="Times New Roman"/>
          <w:b w:val="0"/>
          <w:sz w:val="24"/>
        </w:rPr>
        <w:t>to label the product on its primary, face label as California walnuts, the handler’s name or with a brand. This</w:t>
      </w:r>
      <w:r w:rsidRPr="00C91450">
        <w:rPr>
          <w:rFonts w:ascii="Times New Roman" w:hAnsi="Times New Roman"/>
          <w:b w:val="0"/>
          <w:sz w:val="24"/>
        </w:rPr>
        <w:t xml:space="preserve"> requirement could aid in differentiating California walnuts from walnuts produced elsewhere, potentiall</w:t>
      </w:r>
      <w:r w:rsidRPr="005A60A0">
        <w:rPr>
          <w:rFonts w:ascii="Times New Roman" w:hAnsi="Times New Roman"/>
          <w:b w:val="0"/>
          <w:sz w:val="24"/>
        </w:rPr>
        <w:t>y leading to higher prices for California producers for any given level</w:t>
      </w:r>
      <w:r>
        <w:rPr>
          <w:rFonts w:ascii="Times New Roman" w:hAnsi="Times New Roman"/>
          <w:b w:val="0"/>
          <w:sz w:val="24"/>
        </w:rPr>
        <w:t>s</w:t>
      </w:r>
      <w:r w:rsidRPr="005A60A0">
        <w:rPr>
          <w:rFonts w:ascii="Times New Roman" w:hAnsi="Times New Roman"/>
          <w:b w:val="0"/>
          <w:sz w:val="24"/>
        </w:rPr>
        <w:t xml:space="preserve"> of</w:t>
      </w:r>
      <w:r>
        <w:rPr>
          <w:rFonts w:ascii="Times New Roman" w:hAnsi="Times New Roman"/>
          <w:b w:val="0"/>
          <w:sz w:val="24"/>
        </w:rPr>
        <w:t xml:space="preserve"> California and</w:t>
      </w:r>
      <w:r w:rsidRPr="005A60A0">
        <w:rPr>
          <w:rFonts w:ascii="Times New Roman" w:hAnsi="Times New Roman"/>
          <w:b w:val="0"/>
          <w:sz w:val="24"/>
        </w:rPr>
        <w:t xml:space="preserve"> worldwide production</w:t>
      </w:r>
      <w:r>
        <w:rPr>
          <w:rFonts w:ascii="Times New Roman" w:hAnsi="Times New Roman"/>
          <w:b w:val="0"/>
          <w:sz w:val="24"/>
        </w:rPr>
        <w:t xml:space="preserve"> all else equal</w:t>
      </w:r>
      <w:r w:rsidRPr="005A60A0">
        <w:rPr>
          <w:rFonts w:ascii="Times New Roman" w:hAnsi="Times New Roman"/>
          <w:b w:val="0"/>
          <w:sz w:val="24"/>
        </w:rPr>
        <w:t xml:space="preserve">. </w:t>
      </w:r>
    </w:p>
    <w:p w:rsidR="00C83F8D" w:rsidRDefault="00C83F8D" w:rsidP="00C83F8D">
      <w:pPr>
        <w:pStyle w:val="BodyText2"/>
        <w:autoSpaceDE w:val="0"/>
        <w:autoSpaceDN w:val="0"/>
        <w:adjustRightInd w:val="0"/>
        <w:jc w:val="both"/>
        <w:rPr>
          <w:rFonts w:ascii="Times New Roman" w:hAnsi="Times New Roman"/>
          <w:b w:val="0"/>
          <w:sz w:val="24"/>
        </w:rPr>
      </w:pPr>
    </w:p>
    <w:p w:rsidR="00C83F8D" w:rsidRDefault="00C83F8D" w:rsidP="00C83F8D">
      <w:pPr>
        <w:pStyle w:val="BodyText2"/>
        <w:autoSpaceDE w:val="0"/>
        <w:autoSpaceDN w:val="0"/>
        <w:adjustRightInd w:val="0"/>
        <w:jc w:val="both"/>
        <w:rPr>
          <w:rFonts w:ascii="Times New Roman" w:hAnsi="Times New Roman"/>
          <w:b w:val="0"/>
          <w:sz w:val="24"/>
        </w:rPr>
      </w:pPr>
      <w:r>
        <w:rPr>
          <w:rFonts w:ascii="Times New Roman" w:hAnsi="Times New Roman"/>
          <w:b w:val="0"/>
          <w:sz w:val="24"/>
        </w:rPr>
        <w:t>There are multiple ways in which handler-led investments in advertising and promotion could increase demand</w:t>
      </w:r>
      <w:r w:rsidRPr="00303F44">
        <w:rPr>
          <w:rFonts w:ascii="Times New Roman" w:hAnsi="Times New Roman"/>
          <w:b w:val="0"/>
          <w:sz w:val="24"/>
        </w:rPr>
        <w:t xml:space="preserve">.  First, current walnut consumers could purchase more walnuts.  Second, more consumers could choose to purchase walnuts. CWB market research has estimated that California walnuts are consumed by 40% of U.S. households, so there is substantial untapped potential demand.  Finally, handler-led investments could result in additional sales channels due to the </w:t>
      </w:r>
      <w:r w:rsidRPr="00303F44">
        <w:rPr>
          <w:rFonts w:ascii="Times New Roman" w:hAnsi="Times New Roman"/>
          <w:b w:val="0"/>
          <w:sz w:val="24"/>
        </w:rPr>
        <w:lastRenderedPageBreak/>
        <w:t>development and sale of value-added products, potentially i</w:t>
      </w:r>
      <w:r w:rsidRPr="005A60A0">
        <w:rPr>
          <w:rFonts w:ascii="Times New Roman" w:hAnsi="Times New Roman"/>
          <w:b w:val="0"/>
          <w:sz w:val="24"/>
        </w:rPr>
        <w:t xml:space="preserve">ncreasing net returns above those obtained by commodity sales. </w:t>
      </w:r>
      <w:r>
        <w:rPr>
          <w:rFonts w:ascii="Times New Roman" w:hAnsi="Times New Roman"/>
          <w:b w:val="0"/>
          <w:sz w:val="24"/>
        </w:rPr>
        <w:t xml:space="preserve"> New value-added products and greater visibility of existing ones could induce current walnut users to buy more and attract new users.</w:t>
      </w:r>
    </w:p>
    <w:p w:rsidR="00C83F8D" w:rsidRDefault="00C83F8D" w:rsidP="00C83F8D">
      <w:pPr>
        <w:pStyle w:val="BodyText2"/>
        <w:autoSpaceDE w:val="0"/>
        <w:autoSpaceDN w:val="0"/>
        <w:adjustRightInd w:val="0"/>
        <w:jc w:val="both"/>
        <w:rPr>
          <w:rFonts w:ascii="Times New Roman" w:hAnsi="Times New Roman"/>
          <w:b w:val="0"/>
          <w:sz w:val="24"/>
        </w:rPr>
      </w:pPr>
    </w:p>
    <w:p w:rsidR="00C83F8D" w:rsidRPr="00C91450" w:rsidRDefault="00C83F8D" w:rsidP="00C83F8D">
      <w:pPr>
        <w:pStyle w:val="BodyText2"/>
        <w:autoSpaceDE w:val="0"/>
        <w:autoSpaceDN w:val="0"/>
        <w:adjustRightInd w:val="0"/>
        <w:jc w:val="both"/>
        <w:rPr>
          <w:rFonts w:ascii="Times New Roman" w:hAnsi="Times New Roman"/>
          <w:b w:val="0"/>
          <w:color w:val="222222"/>
          <w:sz w:val="24"/>
          <w:shd w:val="clear" w:color="auto" w:fill="FFFFFF"/>
        </w:rPr>
      </w:pPr>
      <w:r w:rsidRPr="00C91450">
        <w:rPr>
          <w:rFonts w:ascii="Times New Roman" w:hAnsi="Times New Roman"/>
          <w:b w:val="0"/>
          <w:color w:val="222222"/>
          <w:sz w:val="24"/>
          <w:shd w:val="clear" w:color="auto" w:fill="FFFFFF"/>
        </w:rPr>
        <w:t>A quantitative estimate of these benefits is obtained based on the analysis in Kaiser (2018), which follows the standard economic approach for estimating the</w:t>
      </w:r>
      <w:r w:rsidRPr="00C91450">
        <w:rPr>
          <w:rFonts w:ascii="Times New Roman" w:hAnsi="Times New Roman"/>
          <w:b w:val="0"/>
          <w:color w:val="222222"/>
          <w:sz w:val="24"/>
        </w:rPr>
        <w:t xml:space="preserve"> </w:t>
      </w:r>
      <w:r w:rsidRPr="00C91450">
        <w:rPr>
          <w:rFonts w:ascii="Times New Roman" w:hAnsi="Times New Roman"/>
          <w:b w:val="0"/>
          <w:color w:val="222222"/>
          <w:sz w:val="24"/>
          <w:shd w:val="clear" w:color="auto" w:fill="FFFFFF"/>
        </w:rPr>
        <w:t>economic impact of commodity advertising and promotion expenditures.</w:t>
      </w:r>
      <w:r w:rsidRPr="00C91450">
        <w:rPr>
          <w:rFonts w:ascii="Times New Roman" w:hAnsi="Times New Roman"/>
          <w:b w:val="0"/>
          <w:color w:val="222222"/>
          <w:sz w:val="24"/>
        </w:rPr>
        <w:t xml:space="preserve"> </w:t>
      </w:r>
      <w:r w:rsidRPr="00C91450">
        <w:rPr>
          <w:rFonts w:ascii="Times New Roman" w:hAnsi="Times New Roman"/>
          <w:b w:val="0"/>
          <w:color w:val="222222"/>
          <w:sz w:val="24"/>
          <w:shd w:val="clear" w:color="auto" w:fill="FFFFFF"/>
        </w:rPr>
        <w:t>Using data from 1980 to 2016, he estimated the demand for California</w:t>
      </w:r>
      <w:r w:rsidRPr="00C91450">
        <w:rPr>
          <w:rFonts w:ascii="Times New Roman" w:hAnsi="Times New Roman"/>
          <w:b w:val="0"/>
          <w:color w:val="222222"/>
          <w:sz w:val="24"/>
        </w:rPr>
        <w:t xml:space="preserve"> </w:t>
      </w:r>
      <w:r w:rsidRPr="00C91450">
        <w:rPr>
          <w:rFonts w:ascii="Times New Roman" w:hAnsi="Times New Roman"/>
          <w:b w:val="0"/>
          <w:color w:val="222222"/>
          <w:sz w:val="24"/>
          <w:shd w:val="clear" w:color="auto" w:fill="FFFFFF"/>
        </w:rPr>
        <w:t>walnuts as a function of the price of California walnuts, US GDP, and CWB advertising and promotion expenditures.  He then estimated the own- price supply elasticity of California walnuts.  The estimated supply and demand</w:t>
      </w:r>
      <w:r w:rsidRPr="00C91450">
        <w:rPr>
          <w:rFonts w:ascii="Times New Roman" w:hAnsi="Times New Roman"/>
          <w:b w:val="0"/>
          <w:color w:val="222222"/>
          <w:sz w:val="24"/>
        </w:rPr>
        <w:t xml:space="preserve"> </w:t>
      </w:r>
      <w:r w:rsidRPr="00C91450">
        <w:rPr>
          <w:rFonts w:ascii="Times New Roman" w:hAnsi="Times New Roman"/>
          <w:b w:val="0"/>
          <w:color w:val="222222"/>
          <w:sz w:val="24"/>
          <w:shd w:val="clear" w:color="auto" w:fill="FFFFFF"/>
        </w:rPr>
        <w:t>equations were used to construct a simulation model that ensures the</w:t>
      </w:r>
      <w:r w:rsidRPr="00C91450">
        <w:rPr>
          <w:rFonts w:ascii="Times New Roman" w:hAnsi="Times New Roman"/>
          <w:b w:val="0"/>
          <w:color w:val="222222"/>
          <w:sz w:val="24"/>
        </w:rPr>
        <w:t xml:space="preserve"> </w:t>
      </w:r>
      <w:r w:rsidRPr="00C91450">
        <w:rPr>
          <w:rFonts w:ascii="Times New Roman" w:hAnsi="Times New Roman"/>
          <w:b w:val="0"/>
          <w:color w:val="222222"/>
          <w:sz w:val="24"/>
          <w:shd w:val="clear" w:color="auto" w:fill="FFFFFF"/>
        </w:rPr>
        <w:t>quantity supplied equals the quantity demanded. Based on this analysis, he</w:t>
      </w:r>
      <w:r w:rsidRPr="00C91450">
        <w:rPr>
          <w:rFonts w:ascii="Times New Roman" w:hAnsi="Times New Roman"/>
          <w:b w:val="0"/>
          <w:color w:val="222222"/>
          <w:sz w:val="24"/>
        </w:rPr>
        <w:t xml:space="preserve"> </w:t>
      </w:r>
      <w:r w:rsidRPr="00C91450">
        <w:rPr>
          <w:rFonts w:ascii="Times New Roman" w:hAnsi="Times New Roman"/>
          <w:b w:val="0"/>
          <w:color w:val="222222"/>
          <w:sz w:val="24"/>
          <w:shd w:val="clear" w:color="auto" w:fill="FFFFFF"/>
        </w:rPr>
        <w:t>estimated the average total revenue and net return generated by a $1</w:t>
      </w:r>
      <w:r w:rsidRPr="00C91450">
        <w:rPr>
          <w:rFonts w:ascii="Times New Roman" w:hAnsi="Times New Roman"/>
          <w:b w:val="0"/>
          <w:color w:val="222222"/>
          <w:sz w:val="24"/>
        </w:rPr>
        <w:t xml:space="preserve"> </w:t>
      </w:r>
      <w:r w:rsidRPr="00C91450">
        <w:rPr>
          <w:rFonts w:ascii="Times New Roman" w:hAnsi="Times New Roman"/>
          <w:b w:val="0"/>
          <w:color w:val="222222"/>
          <w:sz w:val="24"/>
          <w:shd w:val="clear" w:color="auto" w:fill="FFFFFF"/>
        </w:rPr>
        <w:t>investment in advertising and promotion.  Kaiser (2018) is included as</w:t>
      </w:r>
      <w:r>
        <w:rPr>
          <w:rFonts w:ascii="Times New Roman" w:hAnsi="Times New Roman"/>
          <w:b w:val="0"/>
          <w:color w:val="222222"/>
          <w:sz w:val="24"/>
          <w:shd w:val="clear" w:color="auto" w:fill="FFFFFF"/>
        </w:rPr>
        <w:t xml:space="preserve"> an exhibit.</w:t>
      </w:r>
    </w:p>
    <w:p w:rsidR="00C83F8D" w:rsidRPr="00C91450" w:rsidRDefault="00C83F8D" w:rsidP="00C83F8D">
      <w:pPr>
        <w:pStyle w:val="BodyText2"/>
        <w:autoSpaceDE w:val="0"/>
        <w:autoSpaceDN w:val="0"/>
        <w:adjustRightInd w:val="0"/>
        <w:jc w:val="both"/>
        <w:rPr>
          <w:rFonts w:ascii="Times New Roman" w:hAnsi="Times New Roman"/>
          <w:color w:val="222222"/>
          <w:sz w:val="24"/>
          <w:shd w:val="clear" w:color="auto" w:fill="FFFFFF"/>
        </w:rPr>
      </w:pPr>
    </w:p>
    <w:p w:rsidR="00C83F8D" w:rsidRDefault="00C83F8D" w:rsidP="00C83F8D">
      <w:pPr>
        <w:pStyle w:val="BodyText2"/>
        <w:autoSpaceDE w:val="0"/>
        <w:autoSpaceDN w:val="0"/>
        <w:adjustRightInd w:val="0"/>
        <w:jc w:val="both"/>
        <w:rPr>
          <w:rFonts w:ascii="Times New Roman" w:hAnsi="Times New Roman"/>
          <w:b w:val="0"/>
          <w:bCs w:val="0"/>
          <w:sz w:val="24"/>
        </w:rPr>
      </w:pPr>
      <w:r w:rsidRPr="00C91450">
        <w:rPr>
          <w:rFonts w:ascii="Times New Roman" w:hAnsi="Times New Roman"/>
          <w:b w:val="0"/>
          <w:bCs w:val="0"/>
          <w:sz w:val="24"/>
        </w:rPr>
        <w:t>Kaiser (2018) estimated that each doll</w:t>
      </w:r>
      <w:r w:rsidRPr="00962C94">
        <w:rPr>
          <w:rFonts w:ascii="Times New Roman" w:hAnsi="Times New Roman"/>
          <w:b w:val="0"/>
          <w:bCs w:val="0"/>
          <w:sz w:val="24"/>
        </w:rPr>
        <w:t>ar invested in advertising and promotion of Cali</w:t>
      </w:r>
      <w:r w:rsidRPr="00C91450">
        <w:rPr>
          <w:rFonts w:ascii="Times New Roman" w:hAnsi="Times New Roman"/>
          <w:b w:val="0"/>
          <w:bCs w:val="0"/>
          <w:sz w:val="24"/>
        </w:rPr>
        <w:t>fornia walnuts generated $19.75 in total revenue and $15.67 in net returns on averag</w:t>
      </w:r>
      <w:r w:rsidRPr="00F22512">
        <w:rPr>
          <w:rFonts w:ascii="Times New Roman" w:hAnsi="Times New Roman"/>
          <w:b w:val="0"/>
          <w:bCs w:val="0"/>
          <w:sz w:val="24"/>
        </w:rPr>
        <w:t>e.  Assuming a $0.04 assessment rate per hundredweight and</w:t>
      </w:r>
      <w:r>
        <w:rPr>
          <w:rFonts w:ascii="Times New Roman" w:hAnsi="Times New Roman"/>
          <w:b w:val="0"/>
          <w:bCs w:val="0"/>
          <w:sz w:val="24"/>
        </w:rPr>
        <w:t xml:space="preserve"> total product</w:t>
      </w:r>
      <w:r w:rsidRPr="00F22512">
        <w:rPr>
          <w:rFonts w:ascii="Times New Roman" w:hAnsi="Times New Roman"/>
          <w:b w:val="0"/>
          <w:bCs w:val="0"/>
          <w:sz w:val="24"/>
        </w:rPr>
        <w:t>ion of 625 million cwt</w:t>
      </w:r>
      <w:r>
        <w:rPr>
          <w:rFonts w:ascii="Times New Roman" w:hAnsi="Times New Roman"/>
          <w:b w:val="0"/>
          <w:bCs w:val="0"/>
          <w:sz w:val="24"/>
        </w:rPr>
        <w:t>,</w:t>
      </w:r>
      <w:r w:rsidRPr="00F22512">
        <w:rPr>
          <w:rFonts w:ascii="Times New Roman" w:hAnsi="Times New Roman"/>
          <w:b w:val="0"/>
          <w:bCs w:val="0"/>
          <w:sz w:val="24"/>
        </w:rPr>
        <w:t xml:space="preserve"> the CWB’s total annual budget is approximately $25 million.  </w:t>
      </w:r>
      <w:r w:rsidRPr="005574C2">
        <w:rPr>
          <w:rFonts w:ascii="Times New Roman" w:hAnsi="Times New Roman"/>
          <w:b w:val="0"/>
          <w:bCs w:val="0"/>
          <w:sz w:val="24"/>
        </w:rPr>
        <w:t>If the program budget would be assigned 10% of assessments, then it would have $2.5 million to allocate each year</w:t>
      </w:r>
      <w:r w:rsidRPr="00F22512">
        <w:rPr>
          <w:rFonts w:ascii="Times New Roman" w:hAnsi="Times New Roman"/>
          <w:b w:val="0"/>
          <w:bCs w:val="0"/>
          <w:sz w:val="24"/>
        </w:rPr>
        <w:t xml:space="preserve">.  Assuming all handlers requested their maximum amount of credit-back, then they would invest a total of $3.25 million in advertising and promotion: 70% of these expenditures would be credited back, totaling the $2.5 million in the program budget. The remaining 30% would be </w:t>
      </w:r>
      <w:r>
        <w:rPr>
          <w:rFonts w:ascii="Times New Roman" w:hAnsi="Times New Roman"/>
          <w:b w:val="0"/>
          <w:bCs w:val="0"/>
          <w:sz w:val="24"/>
        </w:rPr>
        <w:t>a $1.07 million</w:t>
      </w:r>
      <w:r w:rsidRPr="00F22512">
        <w:rPr>
          <w:rFonts w:ascii="Times New Roman" w:hAnsi="Times New Roman"/>
          <w:b w:val="0"/>
          <w:bCs w:val="0"/>
          <w:sz w:val="24"/>
        </w:rPr>
        <w:t xml:space="preserve"> increase in total advertising and promotion expenditures, paid by handlers.  Multiplying Kaiser’s estimated returns per dollar by the additional expenditures by handlers, the pr</w:t>
      </w:r>
      <w:r>
        <w:rPr>
          <w:rFonts w:ascii="Times New Roman" w:hAnsi="Times New Roman"/>
          <w:b w:val="0"/>
          <w:bCs w:val="0"/>
          <w:sz w:val="24"/>
        </w:rPr>
        <w:t>ogram would generate roughly $21.2</w:t>
      </w:r>
      <w:r w:rsidRPr="00F22512">
        <w:rPr>
          <w:rFonts w:ascii="Times New Roman" w:hAnsi="Times New Roman"/>
          <w:b w:val="0"/>
          <w:bCs w:val="0"/>
          <w:sz w:val="24"/>
        </w:rPr>
        <w:t xml:space="preserve"> million in additional total revenues and roug</w:t>
      </w:r>
      <w:r>
        <w:rPr>
          <w:rFonts w:ascii="Times New Roman" w:hAnsi="Times New Roman"/>
          <w:b w:val="0"/>
          <w:bCs w:val="0"/>
          <w:sz w:val="24"/>
        </w:rPr>
        <w:t>hly $16</w:t>
      </w:r>
      <w:r w:rsidRPr="00F22512">
        <w:rPr>
          <w:rFonts w:ascii="Times New Roman" w:hAnsi="Times New Roman"/>
          <w:b w:val="0"/>
          <w:bCs w:val="0"/>
          <w:sz w:val="24"/>
        </w:rPr>
        <w:t>.8 million in additional net returns for California walnut producers and handlers.</w:t>
      </w:r>
      <w:r w:rsidRPr="00F22512">
        <w:rPr>
          <w:rStyle w:val="FootnoteReference"/>
          <w:rFonts w:ascii="Times New Roman" w:hAnsi="Times New Roman"/>
          <w:b w:val="0"/>
          <w:bCs w:val="0"/>
          <w:sz w:val="24"/>
        </w:rPr>
        <w:footnoteReference w:id="5"/>
      </w:r>
      <w:r>
        <w:rPr>
          <w:rFonts w:ascii="Times New Roman" w:hAnsi="Times New Roman"/>
          <w:b w:val="0"/>
          <w:bCs w:val="0"/>
          <w:sz w:val="24"/>
        </w:rPr>
        <w:t xml:space="preserve"> Table 1, entered as an exhibit, summarizes these calculations.</w:t>
      </w:r>
    </w:p>
    <w:p w:rsidR="00C83F8D" w:rsidRDefault="00C83F8D" w:rsidP="00C83F8D">
      <w:pPr>
        <w:pStyle w:val="BodyText2"/>
        <w:autoSpaceDE w:val="0"/>
        <w:autoSpaceDN w:val="0"/>
        <w:adjustRightInd w:val="0"/>
        <w:rPr>
          <w:rFonts w:ascii="Times New Roman" w:hAnsi="Times New Roman"/>
          <w:b w:val="0"/>
          <w:bCs w:val="0"/>
          <w:sz w:val="24"/>
        </w:rPr>
      </w:pPr>
    </w:p>
    <w:p w:rsidR="00C83F8D" w:rsidRPr="00C91450" w:rsidRDefault="00C83F8D" w:rsidP="00C83F8D">
      <w:pPr>
        <w:pStyle w:val="CommentText"/>
        <w:contextualSpacing/>
        <w:jc w:val="both"/>
        <w:rPr>
          <w:b/>
          <w:sz w:val="24"/>
          <w:szCs w:val="24"/>
        </w:rPr>
      </w:pPr>
      <w:r w:rsidRPr="00C91450">
        <w:rPr>
          <w:b/>
          <w:sz w:val="24"/>
          <w:szCs w:val="24"/>
        </w:rPr>
        <w:t>Effect on costs</w:t>
      </w:r>
    </w:p>
    <w:p w:rsidR="00C83F8D" w:rsidRPr="00C91450" w:rsidRDefault="00C83F8D" w:rsidP="00C83F8D">
      <w:pPr>
        <w:pStyle w:val="CommentText"/>
        <w:contextualSpacing/>
        <w:jc w:val="both"/>
        <w:rPr>
          <w:sz w:val="24"/>
          <w:szCs w:val="24"/>
        </w:rPr>
      </w:pPr>
      <w:r w:rsidRPr="00C91450">
        <w:rPr>
          <w:sz w:val="24"/>
          <w:szCs w:val="24"/>
        </w:rPr>
        <w:t>There are no expected cost increases in the short run, although over time administrative costs may increase for the CWB depending on the evolution of the size and complexity of the program.  Costs will decrease for participating handlers.</w:t>
      </w:r>
      <w:r w:rsidRPr="00C91450">
        <w:rPr>
          <w:rStyle w:val="FootnoteReference"/>
          <w:sz w:val="24"/>
          <w:szCs w:val="24"/>
        </w:rPr>
        <w:footnoteReference w:id="6"/>
      </w:r>
    </w:p>
    <w:p w:rsidR="00C83F8D" w:rsidRPr="00C91450" w:rsidRDefault="00C83F8D" w:rsidP="00C83F8D">
      <w:pPr>
        <w:pStyle w:val="CommentText"/>
        <w:contextualSpacing/>
        <w:jc w:val="both"/>
        <w:rPr>
          <w:b/>
          <w:sz w:val="24"/>
          <w:szCs w:val="24"/>
        </w:rPr>
      </w:pPr>
    </w:p>
    <w:p w:rsidR="00C83F8D" w:rsidRPr="00C91450" w:rsidRDefault="00C83F8D" w:rsidP="00C83F8D">
      <w:pPr>
        <w:pStyle w:val="CommentText"/>
        <w:contextualSpacing/>
        <w:jc w:val="both"/>
        <w:rPr>
          <w:sz w:val="24"/>
          <w:szCs w:val="24"/>
        </w:rPr>
      </w:pPr>
      <w:r w:rsidRPr="00C91450">
        <w:rPr>
          <w:i/>
          <w:sz w:val="24"/>
          <w:szCs w:val="24"/>
        </w:rPr>
        <w:t>Producers.</w:t>
      </w:r>
      <w:r w:rsidRPr="00C91450">
        <w:rPr>
          <w:b/>
          <w:sz w:val="24"/>
          <w:szCs w:val="24"/>
        </w:rPr>
        <w:t xml:space="preserve"> </w:t>
      </w:r>
      <w:r w:rsidRPr="00C91450">
        <w:rPr>
          <w:sz w:val="24"/>
          <w:szCs w:val="24"/>
        </w:rPr>
        <w:t>Producers’ costs would be unaffected; the program only involves actions by handlers and the CWB.</w:t>
      </w:r>
    </w:p>
    <w:p w:rsidR="00C83F8D" w:rsidRPr="00C91450" w:rsidRDefault="00C83F8D" w:rsidP="00C83F8D">
      <w:pPr>
        <w:pStyle w:val="CommentText"/>
        <w:contextualSpacing/>
        <w:jc w:val="both"/>
        <w:rPr>
          <w:sz w:val="24"/>
          <w:szCs w:val="24"/>
        </w:rPr>
      </w:pPr>
    </w:p>
    <w:p w:rsidR="00C83F8D" w:rsidRPr="00C91450" w:rsidRDefault="00C83F8D" w:rsidP="00C83F8D">
      <w:pPr>
        <w:pStyle w:val="CommentText"/>
        <w:contextualSpacing/>
        <w:jc w:val="both"/>
        <w:rPr>
          <w:sz w:val="24"/>
          <w:szCs w:val="24"/>
        </w:rPr>
      </w:pPr>
      <w:r w:rsidRPr="00C91450">
        <w:rPr>
          <w:i/>
          <w:sz w:val="24"/>
          <w:szCs w:val="24"/>
        </w:rPr>
        <w:t>Handlers.</w:t>
      </w:r>
      <w:r w:rsidRPr="00C91450">
        <w:rPr>
          <w:b/>
          <w:sz w:val="24"/>
          <w:szCs w:val="24"/>
        </w:rPr>
        <w:t xml:space="preserve"> </w:t>
      </w:r>
      <w:r w:rsidRPr="00C91450">
        <w:rPr>
          <w:sz w:val="24"/>
          <w:szCs w:val="24"/>
        </w:rPr>
        <w:t>Handers participating in the credit back program will have a decrease in net assessment costs because a portion of their marketing expenses will be</w:t>
      </w:r>
      <w:r>
        <w:rPr>
          <w:sz w:val="24"/>
          <w:szCs w:val="24"/>
        </w:rPr>
        <w:t xml:space="preserve"> credited back</w:t>
      </w:r>
      <w:r w:rsidRPr="00C91450">
        <w:rPr>
          <w:sz w:val="24"/>
          <w:szCs w:val="24"/>
        </w:rPr>
        <w:t xml:space="preserve">. </w:t>
      </w:r>
    </w:p>
    <w:p w:rsidR="00C83F8D" w:rsidRPr="00C91450" w:rsidRDefault="00C83F8D" w:rsidP="00C83F8D">
      <w:pPr>
        <w:pStyle w:val="CommentText"/>
        <w:contextualSpacing/>
        <w:jc w:val="both"/>
        <w:rPr>
          <w:sz w:val="24"/>
          <w:szCs w:val="24"/>
        </w:rPr>
      </w:pPr>
    </w:p>
    <w:p w:rsidR="00C83F8D" w:rsidRPr="00C91450" w:rsidRDefault="00C83F8D" w:rsidP="00C83F8D">
      <w:pPr>
        <w:pStyle w:val="CommentText"/>
        <w:contextualSpacing/>
        <w:jc w:val="both"/>
        <w:rPr>
          <w:sz w:val="24"/>
          <w:szCs w:val="24"/>
        </w:rPr>
      </w:pPr>
      <w:r w:rsidRPr="00C91450">
        <w:rPr>
          <w:sz w:val="24"/>
          <w:szCs w:val="24"/>
        </w:rPr>
        <w:t xml:space="preserve">Costs will be unchanged for handlers who do not participate.  All handlers choose </w:t>
      </w:r>
      <w:proofErr w:type="gramStart"/>
      <w:r w:rsidRPr="00C91450">
        <w:rPr>
          <w:sz w:val="24"/>
          <w:szCs w:val="24"/>
        </w:rPr>
        <w:t>whether or not</w:t>
      </w:r>
      <w:proofErr w:type="gramEnd"/>
      <w:r w:rsidRPr="00C91450">
        <w:rPr>
          <w:sz w:val="24"/>
          <w:szCs w:val="24"/>
        </w:rPr>
        <w:t xml:space="preserve"> to participate; they will only do so if there is a positive net benefit.  Handlers do not compete for credit-back funds; the amount of funds available to a handler is dependent on its share of total acquisitions in the previous year. </w:t>
      </w:r>
    </w:p>
    <w:p w:rsidR="00C83F8D" w:rsidRPr="00C91450" w:rsidRDefault="00C83F8D" w:rsidP="00C83F8D">
      <w:pPr>
        <w:pStyle w:val="CommentText"/>
        <w:contextualSpacing/>
        <w:jc w:val="both"/>
        <w:rPr>
          <w:sz w:val="24"/>
          <w:szCs w:val="24"/>
        </w:rPr>
      </w:pPr>
    </w:p>
    <w:p w:rsidR="00C83F8D" w:rsidRPr="00C91450" w:rsidRDefault="00C83F8D" w:rsidP="00C83F8D">
      <w:pPr>
        <w:pStyle w:val="CommentText"/>
        <w:tabs>
          <w:tab w:val="left" w:pos="0"/>
        </w:tabs>
        <w:contextualSpacing/>
        <w:jc w:val="both"/>
        <w:rPr>
          <w:sz w:val="24"/>
          <w:szCs w:val="24"/>
        </w:rPr>
      </w:pPr>
      <w:r w:rsidRPr="00C91450">
        <w:rPr>
          <w:i/>
          <w:sz w:val="24"/>
          <w:szCs w:val="24"/>
        </w:rPr>
        <w:lastRenderedPageBreak/>
        <w:t>California Walnut Board.</w:t>
      </w:r>
      <w:r w:rsidRPr="00C91450">
        <w:rPr>
          <w:sz w:val="24"/>
          <w:szCs w:val="24"/>
        </w:rPr>
        <w:t xml:space="preserve"> Initially, oversight expenses for the CWB are expected to remain unchanged because it is anticipated the program will be funded from the current operational budget.  However, depending upon the scope and complexity of the program once implemented, additional staff resources may be needed.</w:t>
      </w:r>
    </w:p>
    <w:p w:rsidR="00C83F8D" w:rsidRPr="00C91450" w:rsidRDefault="00C83F8D" w:rsidP="00C83F8D">
      <w:pPr>
        <w:pStyle w:val="CommentText"/>
        <w:tabs>
          <w:tab w:val="left" w:pos="0"/>
        </w:tabs>
        <w:contextualSpacing/>
        <w:jc w:val="both"/>
        <w:rPr>
          <w:sz w:val="24"/>
          <w:szCs w:val="24"/>
        </w:rPr>
      </w:pPr>
    </w:p>
    <w:p w:rsidR="00C83F8D" w:rsidRPr="00C91450" w:rsidRDefault="00C83F8D" w:rsidP="00C83F8D">
      <w:pPr>
        <w:pStyle w:val="CommentText"/>
        <w:tabs>
          <w:tab w:val="left" w:pos="0"/>
        </w:tabs>
        <w:contextualSpacing/>
        <w:jc w:val="both"/>
        <w:rPr>
          <w:sz w:val="24"/>
          <w:szCs w:val="24"/>
        </w:rPr>
      </w:pPr>
      <w:r w:rsidRPr="00C91450">
        <w:rPr>
          <w:i/>
          <w:sz w:val="24"/>
          <w:szCs w:val="24"/>
        </w:rPr>
        <w:t>USDA.</w:t>
      </w:r>
      <w:r w:rsidRPr="00C91450">
        <w:rPr>
          <w:b/>
          <w:sz w:val="24"/>
          <w:szCs w:val="24"/>
        </w:rPr>
        <w:t xml:space="preserve"> </w:t>
      </w:r>
      <w:r w:rsidRPr="00C91450">
        <w:rPr>
          <w:sz w:val="24"/>
          <w:szCs w:val="24"/>
        </w:rPr>
        <w:t xml:space="preserve">There are no expected increases in costs for USDA. </w:t>
      </w:r>
    </w:p>
    <w:p w:rsidR="00C83F8D" w:rsidRPr="00C91450" w:rsidRDefault="00C83F8D" w:rsidP="00C83F8D"/>
    <w:p w:rsidR="00C83F8D" w:rsidRPr="00C91450" w:rsidRDefault="00C83F8D" w:rsidP="00C83F8D">
      <w:pPr>
        <w:rPr>
          <w:b/>
        </w:rPr>
      </w:pPr>
      <w:r w:rsidRPr="00C91450">
        <w:rPr>
          <w:b/>
        </w:rPr>
        <w:t>Effects on small businesses</w:t>
      </w:r>
    </w:p>
    <w:p w:rsidR="00C83F8D" w:rsidRDefault="00C83F8D" w:rsidP="00C83F8D">
      <w:pPr>
        <w:contextualSpacing/>
        <w:jc w:val="both"/>
      </w:pPr>
      <w:r w:rsidRPr="00C91450">
        <w:t xml:space="preserve">USDA data indicates </w:t>
      </w:r>
      <w:proofErr w:type="gramStart"/>
      <w:r w:rsidRPr="00C91450">
        <w:t>the majority of</w:t>
      </w:r>
      <w:proofErr w:type="gramEnd"/>
      <w:r w:rsidRPr="00C91450">
        <w:t xml:space="preserve"> walnut growers and walnut handlers qualify as small business entities according to the SBA definitions. Given that </w:t>
      </w:r>
      <w:proofErr w:type="gramStart"/>
      <w:r w:rsidRPr="00C91450">
        <w:t>the majority of</w:t>
      </w:r>
      <w:proofErr w:type="gramEnd"/>
      <w:r w:rsidRPr="00C91450">
        <w:t xml:space="preserve"> industry businesses qualify as small entities, the benefits and costs explained above are the anticipated effects on small businesses.</w:t>
      </w:r>
      <w:r w:rsidRPr="00C91450">
        <w:rPr>
          <w:rStyle w:val="FootnoteReference"/>
        </w:rPr>
        <w:footnoteReference w:id="7"/>
      </w:r>
      <w:r w:rsidRPr="00C91450">
        <w:t xml:space="preserve"> </w:t>
      </w:r>
      <w:r>
        <w:t xml:space="preserve">Benefits to small businesses are proportional; all industry members will benefit proportionately from an increase in demand due to the credit-back program.  </w:t>
      </w:r>
    </w:p>
    <w:p w:rsidR="00C83F8D" w:rsidRDefault="00C83F8D" w:rsidP="00C83F8D">
      <w:pPr>
        <w:contextualSpacing/>
        <w:jc w:val="both"/>
      </w:pPr>
    </w:p>
    <w:p w:rsidR="00C83F8D" w:rsidRDefault="00C83F8D" w:rsidP="00C83F8D">
      <w:pPr>
        <w:contextualSpacing/>
        <w:jc w:val="both"/>
      </w:pPr>
      <w:r w:rsidRPr="006F53B4">
        <w:rPr>
          <w:i/>
        </w:rPr>
        <w:t>Growers meeting the small business definition</w:t>
      </w:r>
      <w:r>
        <w:t xml:space="preserve">. Costs are zero for growers, including small growers. Benefits to small business growers are proportional; all industry members will benefit proportionately from an increase in demand due to the credit-back program. </w:t>
      </w:r>
    </w:p>
    <w:p w:rsidR="00C83F8D" w:rsidRDefault="00C83F8D" w:rsidP="00C83F8D">
      <w:pPr>
        <w:contextualSpacing/>
        <w:jc w:val="both"/>
      </w:pPr>
    </w:p>
    <w:p w:rsidR="00C83F8D" w:rsidRPr="00C91450" w:rsidRDefault="00C83F8D" w:rsidP="00C83F8D">
      <w:pPr>
        <w:contextualSpacing/>
        <w:jc w:val="both"/>
      </w:pPr>
      <w:r w:rsidRPr="006F53B4">
        <w:rPr>
          <w:i/>
        </w:rPr>
        <w:t>Handlers meeting the small business definition</w:t>
      </w:r>
      <w:r>
        <w:t xml:space="preserve">. Small businesses, as for all handlers, will participate only if they benefit from doing so. Handlers meeting the definition of a small business will benefit proportionately from the reduction in costs obtained by participating in the credit-back program.  Because a handler’s credit-back is pro rata based on his percent of acquisitions from the prior year, no handler can benefit disproportionately from the program. Benefits to small business handlers are proportional; all industry members will benefit proportionately from an increase in demand due to the credit-back program. </w:t>
      </w:r>
    </w:p>
    <w:p w:rsidR="00C83F8D" w:rsidRDefault="00C83F8D" w:rsidP="00C83F8D"/>
    <w:p w:rsidR="00C83F8D" w:rsidRDefault="00C83F8D" w:rsidP="00C83F8D">
      <w:pPr>
        <w:sectPr w:rsidR="00C83F8D">
          <w:footerReference w:type="default" r:id="rId7"/>
          <w:pgSz w:w="12240" w:h="15840"/>
          <w:pgMar w:top="1440" w:right="1440" w:bottom="1440" w:left="1440" w:header="720" w:footer="720" w:gutter="0"/>
          <w:cols w:space="720"/>
          <w:docGrid w:linePitch="360"/>
        </w:sectPr>
      </w:pPr>
    </w:p>
    <w:p w:rsidR="00C83F8D" w:rsidRDefault="00C83F8D" w:rsidP="00C83F8D">
      <w:pPr>
        <w:jc w:val="center"/>
      </w:pPr>
    </w:p>
    <w:p w:rsidR="00C83F8D" w:rsidRDefault="00C83F8D" w:rsidP="00C83F8D">
      <w:pPr>
        <w:jc w:val="center"/>
      </w:pPr>
    </w:p>
    <w:p w:rsidR="00C83F8D" w:rsidRDefault="00C83F8D" w:rsidP="00C83F8D">
      <w:pPr>
        <w:jc w:val="center"/>
      </w:pPr>
    </w:p>
    <w:p w:rsidR="00C83F8D" w:rsidRDefault="00C83F8D" w:rsidP="00C83F8D">
      <w:pPr>
        <w:jc w:val="center"/>
      </w:pPr>
      <w:r>
        <w:t>Figure 1. Effect of an increase in demand</w:t>
      </w:r>
    </w:p>
    <w:p w:rsidR="00C83F8D" w:rsidRDefault="00C83F8D" w:rsidP="00C83F8D">
      <w:pPr>
        <w:jc w:val="center"/>
      </w:pPr>
    </w:p>
    <w:p w:rsidR="00C83F8D" w:rsidRDefault="001C74FC" w:rsidP="00C83F8D">
      <w:pPr>
        <w:jc w:val="center"/>
      </w:pPr>
      <w:r>
        <w:object w:dxaOrig="7515" w:dyaOrig="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1 is Effect of an increase in demand" style="width:509pt;height:291pt" o:ole="">
            <v:imagedata r:id="rId8" o:title=""/>
          </v:shape>
          <o:OLEObject Type="Embed" ProgID="Excel.Sheet.12" ShapeID="_x0000_i1025" DrawAspect="Content" ObjectID="_1648812117" r:id="rId9"/>
        </w:object>
      </w:r>
    </w:p>
    <w:p w:rsidR="00C83F8D" w:rsidRDefault="00C83F8D" w:rsidP="00C83F8D">
      <w:r>
        <w:br w:type="page"/>
      </w:r>
    </w:p>
    <w:p w:rsidR="00C83F8D" w:rsidRDefault="00C83F8D" w:rsidP="00C83F8D">
      <w:pPr>
        <w:jc w:val="center"/>
      </w:pPr>
      <w:r>
        <w:lastRenderedPageBreak/>
        <w:t>Figure 2. Effect of an increase in supply</w:t>
      </w:r>
    </w:p>
    <w:p w:rsidR="00C83F8D" w:rsidRDefault="00C83F8D" w:rsidP="00C83F8D">
      <w:pPr>
        <w:jc w:val="center"/>
      </w:pPr>
    </w:p>
    <w:p w:rsidR="00C83F8D" w:rsidRDefault="00C83F8D" w:rsidP="00C83F8D">
      <w:pPr>
        <w:jc w:val="center"/>
      </w:pPr>
      <w:r>
        <w:rPr>
          <w:noProof/>
        </w:rPr>
        <w:drawing>
          <wp:inline distT="0" distB="0" distL="0" distR="0" wp14:anchorId="1E968893" wp14:editId="100240C7">
            <wp:extent cx="6321777" cy="4007555"/>
            <wp:effectExtent l="0" t="0" r="3175" b="12065"/>
            <wp:docPr id="1" name="Chart 1" descr="Figure 2 is Effect of an increase in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3F8D" w:rsidRDefault="00C83F8D" w:rsidP="00C83F8D">
      <w:pPr>
        <w:jc w:val="center"/>
      </w:pPr>
      <w:r>
        <w:br w:type="page"/>
      </w:r>
    </w:p>
    <w:p w:rsidR="00C83F8D" w:rsidRDefault="00C83F8D" w:rsidP="00C83F8D">
      <w:pPr>
        <w:jc w:val="center"/>
      </w:pPr>
    </w:p>
    <w:p w:rsidR="00C83F8D" w:rsidRDefault="00C83F8D" w:rsidP="00C83F8D">
      <w:pPr>
        <w:jc w:val="center"/>
      </w:pPr>
      <w:r>
        <w:t>Figure 3. Effect of Increases in Supply and Demand</w:t>
      </w:r>
    </w:p>
    <w:p w:rsidR="00C83F8D" w:rsidRDefault="00C83F8D" w:rsidP="00C83F8D">
      <w:pPr>
        <w:jc w:val="center"/>
      </w:pPr>
    </w:p>
    <w:bookmarkStart w:id="0" w:name="_GoBack"/>
    <w:bookmarkEnd w:id="0"/>
    <w:p w:rsidR="00C83F8D" w:rsidRPr="00EE1E4C" w:rsidRDefault="001C74FC" w:rsidP="00C83F8D">
      <w:pPr>
        <w:jc w:val="center"/>
      </w:pPr>
      <w:r>
        <w:rPr>
          <w:noProof/>
        </w:rPr>
        <w:object w:dxaOrig="7515" w:dyaOrig="4322">
          <v:shape id="_x0000_i1026" type="#_x0000_t75" alt="Figure 3 is Effects of Increase in Supply and Demand" style="width:507pt;height:291pt" o:ole="">
            <v:imagedata r:id="rId11" o:title=""/>
          </v:shape>
          <o:OLEObject Type="Embed" ProgID="Excel.Sheet.12" ShapeID="_x0000_i1026" DrawAspect="Content" ObjectID="_1648812118" r:id="rId12"/>
        </w:object>
      </w:r>
    </w:p>
    <w:p w:rsidR="00C83F8D" w:rsidRPr="00EE1E4C" w:rsidRDefault="00C83F8D" w:rsidP="00C83F8D"/>
    <w:p w:rsidR="00C83F8D" w:rsidRPr="00EE1E4C" w:rsidRDefault="00C83F8D" w:rsidP="00C83F8D"/>
    <w:p w:rsidR="00C83F8D" w:rsidRPr="00EE1E4C" w:rsidRDefault="00C83F8D" w:rsidP="00C83F8D"/>
    <w:p w:rsidR="00C83F8D" w:rsidRDefault="00C83F8D" w:rsidP="00C83F8D"/>
    <w:p w:rsidR="00C83F8D" w:rsidRDefault="00C83F8D" w:rsidP="00C83F8D"/>
    <w:p w:rsidR="00C83F8D" w:rsidRDefault="00C83F8D" w:rsidP="00C83F8D">
      <w:pPr>
        <w:pStyle w:val="BodyText2"/>
        <w:keepNext/>
        <w:keepLines/>
        <w:autoSpaceDE w:val="0"/>
        <w:autoSpaceDN w:val="0"/>
        <w:adjustRightInd w:val="0"/>
        <w:rPr>
          <w:rFonts w:ascii="Times New Roman" w:hAnsi="Times New Roman"/>
          <w:b w:val="0"/>
          <w:bCs w:val="0"/>
          <w:sz w:val="24"/>
        </w:rPr>
        <w:sectPr w:rsidR="00C83F8D" w:rsidSect="003C60C9">
          <w:pgSz w:w="15840" w:h="12240" w:orient="landscape"/>
          <w:pgMar w:top="1440" w:right="1440" w:bottom="1440" w:left="1440" w:header="720" w:footer="720" w:gutter="0"/>
          <w:cols w:space="720"/>
          <w:docGrid w:linePitch="360"/>
        </w:sectPr>
      </w:pPr>
    </w:p>
    <w:p w:rsidR="00C83F8D" w:rsidRDefault="00C83F8D" w:rsidP="00C83F8D">
      <w:pPr>
        <w:pStyle w:val="BodyText2"/>
        <w:keepNext/>
        <w:keepLines/>
        <w:autoSpaceDE w:val="0"/>
        <w:autoSpaceDN w:val="0"/>
        <w:adjustRightInd w:val="0"/>
        <w:rPr>
          <w:rFonts w:ascii="Times New Roman" w:hAnsi="Times New Roman"/>
          <w:b w:val="0"/>
          <w:bCs w:val="0"/>
          <w:sz w:val="24"/>
        </w:rPr>
      </w:pPr>
      <w:r>
        <w:rPr>
          <w:rFonts w:ascii="Times New Roman" w:hAnsi="Times New Roman"/>
          <w:b w:val="0"/>
          <w:bCs w:val="0"/>
          <w:sz w:val="24"/>
        </w:rPr>
        <w:lastRenderedPageBreak/>
        <w:t>Table 1. Calculating the impacts on total revenues and net returns of the credit-back program</w:t>
      </w:r>
    </w:p>
    <w:tbl>
      <w:tblPr>
        <w:tblStyle w:val="PlainTable2"/>
        <w:tblW w:w="0" w:type="auto"/>
        <w:tblCellMar>
          <w:left w:w="0" w:type="dxa"/>
          <w:right w:w="72" w:type="dxa"/>
        </w:tblCellMar>
        <w:tblLook w:val="0620" w:firstRow="1" w:lastRow="0" w:firstColumn="0" w:lastColumn="0" w:noHBand="1" w:noVBand="1"/>
      </w:tblPr>
      <w:tblGrid>
        <w:gridCol w:w="6695"/>
        <w:gridCol w:w="1259"/>
        <w:gridCol w:w="1172"/>
      </w:tblGrid>
      <w:tr w:rsidR="00C83F8D" w:rsidTr="00352B09">
        <w:trPr>
          <w:cnfStyle w:val="100000000000" w:firstRow="1" w:lastRow="0" w:firstColumn="0" w:lastColumn="0" w:oddVBand="0" w:evenVBand="0" w:oddHBand="0" w:evenHBand="0" w:firstRowFirstColumn="0" w:firstRowLastColumn="0" w:lastRowFirstColumn="0" w:lastRowLastColumn="0"/>
        </w:trPr>
        <w:tc>
          <w:tcPr>
            <w:tcW w:w="0" w:type="auto"/>
          </w:tcPr>
          <w:p w:rsidR="00C83F8D" w:rsidRDefault="00C83F8D" w:rsidP="00352B09">
            <w:pPr>
              <w:pStyle w:val="BodyText2"/>
              <w:keepNext/>
              <w:keepLines/>
              <w:autoSpaceDE w:val="0"/>
              <w:autoSpaceDN w:val="0"/>
              <w:adjustRightInd w:val="0"/>
              <w:spacing w:before="120"/>
              <w:rPr>
                <w:rFonts w:ascii="Times New Roman" w:hAnsi="Times New Roman"/>
                <w:b/>
                <w:bCs/>
                <w:sz w:val="24"/>
              </w:rPr>
            </w:pPr>
          </w:p>
        </w:tc>
        <w:tc>
          <w:tcPr>
            <w:tcW w:w="0" w:type="auto"/>
            <w:vAlign w:val="center"/>
          </w:tcPr>
          <w:p w:rsidR="00C83F8D" w:rsidRDefault="00C83F8D" w:rsidP="00352B09">
            <w:pPr>
              <w:pStyle w:val="BodyText2"/>
              <w:keepNext/>
              <w:keepLines/>
              <w:autoSpaceDE w:val="0"/>
              <w:autoSpaceDN w:val="0"/>
              <w:adjustRightInd w:val="0"/>
              <w:spacing w:before="120"/>
              <w:jc w:val="center"/>
              <w:rPr>
                <w:rFonts w:ascii="Times New Roman" w:hAnsi="Times New Roman"/>
                <w:b/>
                <w:bCs/>
                <w:sz w:val="24"/>
              </w:rPr>
            </w:pPr>
            <w:r>
              <w:rPr>
                <w:rFonts w:ascii="Times New Roman" w:hAnsi="Times New Roman"/>
                <w:b/>
                <w:bCs/>
                <w:sz w:val="24"/>
              </w:rPr>
              <w:t>Calculation</w:t>
            </w:r>
          </w:p>
        </w:tc>
        <w:tc>
          <w:tcPr>
            <w:tcW w:w="0" w:type="auto"/>
            <w:vAlign w:val="center"/>
          </w:tcPr>
          <w:p w:rsidR="00C83F8D" w:rsidRDefault="00C83F8D" w:rsidP="00352B09">
            <w:pPr>
              <w:pStyle w:val="BodyText2"/>
              <w:keepNext/>
              <w:keepLines/>
              <w:autoSpaceDE w:val="0"/>
              <w:autoSpaceDN w:val="0"/>
              <w:adjustRightInd w:val="0"/>
              <w:spacing w:before="120"/>
              <w:jc w:val="right"/>
              <w:rPr>
                <w:rFonts w:ascii="Times New Roman" w:hAnsi="Times New Roman"/>
                <w:b/>
                <w:bCs/>
                <w:sz w:val="24"/>
              </w:rPr>
            </w:pPr>
            <w:r>
              <w:rPr>
                <w:rFonts w:ascii="Times New Roman" w:hAnsi="Times New Roman"/>
                <w:b/>
                <w:bCs/>
                <w:sz w:val="24"/>
              </w:rPr>
              <w:t>Value</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Total production</w:t>
            </w:r>
            <w:r>
              <w:rPr>
                <w:rFonts w:ascii="Times New Roman" w:hAnsi="Times New Roman"/>
                <w:b w:val="0"/>
                <w:bCs w:val="0"/>
              </w:rPr>
              <w:t xml:space="preserve"> (cwt.)</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sidRPr="00840300">
              <w:rPr>
                <w:rFonts w:ascii="Times New Roman" w:hAnsi="Times New Roman"/>
                <w:b w:val="0"/>
                <w:bCs w:val="0"/>
              </w:rPr>
              <w:t>(A)</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sidRPr="00840300">
              <w:rPr>
                <w:rFonts w:ascii="Times New Roman" w:hAnsi="Times New Roman"/>
                <w:b w:val="0"/>
                <w:bCs w:val="0"/>
              </w:rPr>
              <w:t>625,000,000</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 xml:space="preserve">Assessment rate </w:t>
            </w:r>
            <w:r>
              <w:rPr>
                <w:rFonts w:ascii="Times New Roman" w:hAnsi="Times New Roman"/>
                <w:b w:val="0"/>
                <w:bCs w:val="0"/>
              </w:rPr>
              <w:t>($/cwt.)</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sidRPr="00840300">
              <w:rPr>
                <w:rFonts w:ascii="Times New Roman" w:hAnsi="Times New Roman"/>
                <w:b w:val="0"/>
                <w:bCs w:val="0"/>
              </w:rPr>
              <w:t>(B)</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sidRPr="00840300">
              <w:rPr>
                <w:rFonts w:ascii="Times New Roman" w:hAnsi="Times New Roman"/>
                <w:b w:val="0"/>
                <w:bCs w:val="0"/>
              </w:rPr>
              <w:t>0.04</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Total CWB budget</w:t>
            </w:r>
            <w:r>
              <w:rPr>
                <w:rFonts w:ascii="Times New Roman" w:hAnsi="Times New Roman"/>
                <w:b w:val="0"/>
                <w:bCs w:val="0"/>
              </w:rPr>
              <w:t xml:space="preserv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sidRPr="00840300">
              <w:rPr>
                <w:rFonts w:ascii="Times New Roman" w:hAnsi="Times New Roman"/>
                <w:b w:val="0"/>
                <w:bCs w:val="0"/>
              </w:rPr>
              <w:t>(C=A*B)</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sidRPr="00840300">
              <w:rPr>
                <w:rFonts w:ascii="Times New Roman" w:hAnsi="Times New Roman"/>
                <w:b w:val="0"/>
                <w:bCs w:val="0"/>
              </w:rPr>
              <w:t>25,000,000</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Share of budget allocated to credit-back program</w:t>
            </w:r>
            <w:r>
              <w:rPr>
                <w:rFonts w:ascii="Times New Roman" w:hAnsi="Times New Roman"/>
                <w:b w:val="0"/>
                <w:bCs w:val="0"/>
              </w:rPr>
              <w:t xml:space="preserv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sidRPr="00840300">
              <w:rPr>
                <w:rFonts w:ascii="Times New Roman" w:hAnsi="Times New Roman"/>
                <w:b w:val="0"/>
                <w:bCs w:val="0"/>
              </w:rPr>
              <w:t>(D)</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Pr>
                <w:rFonts w:ascii="Times New Roman" w:hAnsi="Times New Roman"/>
                <w:b w:val="0"/>
                <w:bCs w:val="0"/>
              </w:rPr>
              <w:t>10</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Credit-back program budget</w:t>
            </w:r>
            <w:r>
              <w:rPr>
                <w:rFonts w:ascii="Times New Roman" w:hAnsi="Times New Roman"/>
                <w:b w:val="0"/>
                <w:bCs w:val="0"/>
              </w:rPr>
              <w:t xml:space="preserv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sidRPr="00840300">
              <w:rPr>
                <w:rFonts w:ascii="Times New Roman" w:hAnsi="Times New Roman"/>
                <w:b w:val="0"/>
                <w:bCs w:val="0"/>
              </w:rPr>
              <w:t>(E=C*D)</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sidRPr="00840300">
              <w:rPr>
                <w:rFonts w:ascii="Times New Roman" w:hAnsi="Times New Roman"/>
                <w:b w:val="0"/>
                <w:bCs w:val="0"/>
              </w:rPr>
              <w:t>2,500,000</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Credit-back rate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sidRPr="00840300">
              <w:rPr>
                <w:rFonts w:ascii="Times New Roman" w:hAnsi="Times New Roman"/>
                <w:b w:val="0"/>
                <w:bCs w:val="0"/>
              </w:rPr>
              <w:t>(F)</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Pr>
                <w:rFonts w:ascii="Times New Roman" w:hAnsi="Times New Roman"/>
                <w:b w:val="0"/>
                <w:bCs w:val="0"/>
              </w:rPr>
              <w:t>70</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Pr>
                <w:rFonts w:ascii="Times New Roman" w:hAnsi="Times New Roman"/>
                <w:b w:val="0"/>
                <w:bCs w:val="0"/>
              </w:rPr>
              <w:t>Total advertising and promotion expenditures with credit-back program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Pr>
                <w:rFonts w:ascii="Times New Roman" w:hAnsi="Times New Roman"/>
                <w:b w:val="0"/>
                <w:bCs w:val="0"/>
              </w:rPr>
              <w:t>G=E/F</w:t>
            </w:r>
          </w:p>
        </w:tc>
        <w:tc>
          <w:tcPr>
            <w:tcW w:w="0" w:type="auto"/>
            <w:vAlign w:val="center"/>
          </w:tcPr>
          <w:p w:rsidR="00C83F8D" w:rsidRPr="00840300" w:rsidRDefault="00C83F8D" w:rsidP="00352B09">
            <w:pPr>
              <w:spacing w:before="120"/>
              <w:jc w:val="right"/>
            </w:pPr>
            <w:r>
              <w:t>3,5</w:t>
            </w:r>
            <w:r w:rsidRPr="00840300">
              <w:t>71,429</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Increase in advertising and promotion expenditures</w:t>
            </w:r>
            <w:r>
              <w:rPr>
                <w:rFonts w:ascii="Times New Roman" w:hAnsi="Times New Roman"/>
                <w:b w:val="0"/>
                <w:bCs w:val="0"/>
              </w:rPr>
              <w:t xml:space="preserv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Pr>
                <w:rFonts w:ascii="Times New Roman" w:hAnsi="Times New Roman"/>
                <w:b w:val="0"/>
                <w:bCs w:val="0"/>
              </w:rPr>
              <w:t>H=G-E</w:t>
            </w:r>
          </w:p>
        </w:tc>
        <w:tc>
          <w:tcPr>
            <w:tcW w:w="0" w:type="auto"/>
            <w:vAlign w:val="center"/>
          </w:tcPr>
          <w:p w:rsidR="00C83F8D" w:rsidRPr="00840300" w:rsidRDefault="00C83F8D" w:rsidP="00352B09">
            <w:pPr>
              <w:spacing w:before="120"/>
              <w:jc w:val="right"/>
            </w:pPr>
            <w:r w:rsidRPr="00840300">
              <w:t>1,071,429</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Increase in total revenues per dollar of advertising/promotion</w:t>
            </w:r>
            <w:r>
              <w:rPr>
                <w:rFonts w:ascii="Times New Roman" w:hAnsi="Times New Roman"/>
                <w:b w:val="0"/>
                <w:bCs w:val="0"/>
              </w:rPr>
              <w:t xml:space="preserv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Pr>
                <w:rFonts w:ascii="Times New Roman" w:hAnsi="Times New Roman"/>
                <w:b w:val="0"/>
                <w:bCs w:val="0"/>
              </w:rPr>
              <w:t>(I</w:t>
            </w:r>
            <w:r w:rsidRPr="00840300">
              <w:rPr>
                <w:rFonts w:ascii="Times New Roman" w:hAnsi="Times New Roman"/>
                <w:b w:val="0"/>
                <w:bCs w:val="0"/>
              </w:rPr>
              <w:t>)</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sidRPr="00840300">
              <w:rPr>
                <w:rFonts w:ascii="Times New Roman" w:eastAsiaTheme="minorHAnsi" w:hAnsi="Times New Roman"/>
                <w:b w:val="0"/>
                <w:bCs w:val="0"/>
              </w:rPr>
              <w:t>19.75</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Increase in net returns per dollar of advertising/promotion</w:t>
            </w:r>
            <w:r>
              <w:rPr>
                <w:rFonts w:ascii="Times New Roman" w:hAnsi="Times New Roman"/>
                <w:b w:val="0"/>
                <w:bCs w:val="0"/>
              </w:rPr>
              <w:t xml:space="preserv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Pr>
                <w:rFonts w:ascii="Times New Roman" w:hAnsi="Times New Roman"/>
                <w:b w:val="0"/>
                <w:bCs w:val="0"/>
              </w:rPr>
              <w:t>(J</w:t>
            </w:r>
            <w:r w:rsidRPr="00840300">
              <w:rPr>
                <w:rFonts w:ascii="Times New Roman" w:hAnsi="Times New Roman"/>
                <w:b w:val="0"/>
                <w:bCs w:val="0"/>
              </w:rPr>
              <w:t>)</w:t>
            </w:r>
          </w:p>
        </w:tc>
        <w:tc>
          <w:tcPr>
            <w:tcW w:w="0" w:type="auto"/>
            <w:vAlign w:val="center"/>
          </w:tcPr>
          <w:p w:rsidR="00C83F8D" w:rsidRPr="00840300" w:rsidRDefault="00C83F8D" w:rsidP="00352B09">
            <w:pPr>
              <w:pStyle w:val="BodyText2"/>
              <w:keepNext/>
              <w:keepLines/>
              <w:autoSpaceDE w:val="0"/>
              <w:autoSpaceDN w:val="0"/>
              <w:adjustRightInd w:val="0"/>
              <w:spacing w:before="120"/>
              <w:jc w:val="right"/>
              <w:rPr>
                <w:rFonts w:ascii="Times New Roman" w:hAnsi="Times New Roman"/>
                <w:b w:val="0"/>
                <w:bCs w:val="0"/>
              </w:rPr>
            </w:pPr>
            <w:r w:rsidRPr="00840300">
              <w:rPr>
                <w:rFonts w:ascii="Times New Roman" w:hAnsi="Times New Roman"/>
                <w:b w:val="0"/>
                <w:bCs w:val="0"/>
              </w:rPr>
              <w:t>15.67</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Increase in total revenues</w:t>
            </w:r>
            <w:r>
              <w:rPr>
                <w:rFonts w:ascii="Times New Roman" w:hAnsi="Times New Roman"/>
                <w:b w:val="0"/>
                <w:bCs w:val="0"/>
              </w:rPr>
              <w:t xml:space="preserve"> ($)</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Pr>
                <w:rFonts w:ascii="Times New Roman" w:hAnsi="Times New Roman"/>
                <w:b w:val="0"/>
                <w:bCs w:val="0"/>
              </w:rPr>
              <w:t>(K=</w:t>
            </w:r>
            <w:r w:rsidRPr="00840300">
              <w:rPr>
                <w:rFonts w:ascii="Times New Roman" w:hAnsi="Times New Roman"/>
                <w:b w:val="0"/>
                <w:bCs w:val="0"/>
              </w:rPr>
              <w:t>H</w:t>
            </w:r>
            <w:r>
              <w:rPr>
                <w:rFonts w:ascii="Times New Roman" w:hAnsi="Times New Roman"/>
                <w:b w:val="0"/>
                <w:bCs w:val="0"/>
              </w:rPr>
              <w:t>*I</w:t>
            </w:r>
            <w:r w:rsidRPr="00840300">
              <w:rPr>
                <w:rFonts w:ascii="Times New Roman" w:hAnsi="Times New Roman"/>
                <w:b w:val="0"/>
                <w:bCs w:val="0"/>
              </w:rPr>
              <w:t>)</w:t>
            </w:r>
          </w:p>
        </w:tc>
        <w:tc>
          <w:tcPr>
            <w:tcW w:w="0" w:type="auto"/>
            <w:vAlign w:val="center"/>
          </w:tcPr>
          <w:p w:rsidR="00C83F8D" w:rsidRPr="00840300" w:rsidRDefault="00C83F8D" w:rsidP="00352B09">
            <w:pPr>
              <w:spacing w:before="120"/>
              <w:jc w:val="right"/>
            </w:pPr>
            <w:r w:rsidRPr="00840300">
              <w:t>21,160,714</w:t>
            </w:r>
          </w:p>
        </w:tc>
      </w:tr>
      <w:tr w:rsidR="00C83F8D" w:rsidTr="00352B09">
        <w:tc>
          <w:tcPr>
            <w:tcW w:w="0" w:type="auto"/>
          </w:tcPr>
          <w:p w:rsidR="00C83F8D" w:rsidRPr="00840300" w:rsidRDefault="00C83F8D" w:rsidP="00352B09">
            <w:pPr>
              <w:pStyle w:val="BodyText2"/>
              <w:keepNext/>
              <w:keepLines/>
              <w:autoSpaceDE w:val="0"/>
              <w:autoSpaceDN w:val="0"/>
              <w:adjustRightInd w:val="0"/>
              <w:spacing w:before="120"/>
              <w:rPr>
                <w:rFonts w:ascii="Times New Roman" w:hAnsi="Times New Roman"/>
                <w:b w:val="0"/>
                <w:bCs w:val="0"/>
              </w:rPr>
            </w:pPr>
            <w:r w:rsidRPr="00840300">
              <w:rPr>
                <w:rFonts w:ascii="Times New Roman" w:hAnsi="Times New Roman"/>
                <w:b w:val="0"/>
                <w:bCs w:val="0"/>
              </w:rPr>
              <w:t xml:space="preserve">Increase in net returns </w:t>
            </w:r>
            <w:r>
              <w:rPr>
                <w:rFonts w:ascii="Times New Roman" w:hAnsi="Times New Roman"/>
                <w:b w:val="0"/>
                <w:bCs w:val="0"/>
              </w:rPr>
              <w:t>($)</w:t>
            </w:r>
          </w:p>
        </w:tc>
        <w:tc>
          <w:tcPr>
            <w:tcW w:w="0" w:type="auto"/>
          </w:tcPr>
          <w:p w:rsidR="00C83F8D" w:rsidRPr="00840300" w:rsidRDefault="00C83F8D" w:rsidP="00352B09">
            <w:pPr>
              <w:pStyle w:val="BodyText2"/>
              <w:keepNext/>
              <w:keepLines/>
              <w:autoSpaceDE w:val="0"/>
              <w:autoSpaceDN w:val="0"/>
              <w:adjustRightInd w:val="0"/>
              <w:spacing w:before="120"/>
              <w:jc w:val="center"/>
              <w:rPr>
                <w:rFonts w:ascii="Times New Roman" w:hAnsi="Times New Roman"/>
                <w:b w:val="0"/>
                <w:bCs w:val="0"/>
              </w:rPr>
            </w:pPr>
            <w:r>
              <w:rPr>
                <w:rFonts w:ascii="Times New Roman" w:hAnsi="Times New Roman"/>
                <w:b w:val="0"/>
                <w:bCs w:val="0"/>
              </w:rPr>
              <w:t>(K=H*J</w:t>
            </w:r>
            <w:r w:rsidRPr="00840300">
              <w:rPr>
                <w:rFonts w:ascii="Times New Roman" w:hAnsi="Times New Roman"/>
                <w:b w:val="0"/>
                <w:bCs w:val="0"/>
              </w:rPr>
              <w:t>)</w:t>
            </w:r>
          </w:p>
        </w:tc>
        <w:tc>
          <w:tcPr>
            <w:tcW w:w="0" w:type="auto"/>
            <w:vAlign w:val="center"/>
          </w:tcPr>
          <w:p w:rsidR="00C83F8D" w:rsidRPr="00840300" w:rsidRDefault="00C83F8D" w:rsidP="00352B09">
            <w:pPr>
              <w:spacing w:before="120"/>
              <w:jc w:val="right"/>
            </w:pPr>
            <w:r w:rsidRPr="00840300">
              <w:t>16,789,286</w:t>
            </w:r>
          </w:p>
        </w:tc>
      </w:tr>
    </w:tbl>
    <w:p w:rsidR="00C83F8D" w:rsidRPr="008654CC" w:rsidRDefault="00C83F8D" w:rsidP="00C83F8D">
      <w:pPr>
        <w:pStyle w:val="BodyText2"/>
        <w:autoSpaceDE w:val="0"/>
        <w:autoSpaceDN w:val="0"/>
        <w:adjustRightInd w:val="0"/>
        <w:rPr>
          <w:rFonts w:ascii="Calisto MT" w:hAnsi="Calisto MT"/>
          <w:b w:val="0"/>
          <w:bCs w:val="0"/>
          <w:sz w:val="24"/>
        </w:rPr>
      </w:pPr>
    </w:p>
    <w:p w:rsidR="00C83F8D" w:rsidRPr="008654CC" w:rsidRDefault="00C83F8D" w:rsidP="00C83F8D">
      <w:pPr>
        <w:contextualSpacing/>
        <w:jc w:val="both"/>
        <w:rPr>
          <w:rFonts w:ascii="Calisto MT" w:hAnsi="Calisto MT"/>
          <w:b/>
          <w:color w:val="5B9BD5" w:themeColor="accent1"/>
        </w:rPr>
      </w:pPr>
    </w:p>
    <w:p w:rsidR="00C83F8D" w:rsidRPr="008F2891" w:rsidRDefault="00C83F8D" w:rsidP="00C83F8D">
      <w:pPr>
        <w:contextualSpacing/>
        <w:jc w:val="both"/>
        <w:rPr>
          <w:rFonts w:ascii="Calisto MT" w:hAnsi="Calisto MT"/>
          <w:color w:val="000000" w:themeColor="text1"/>
        </w:rPr>
      </w:pPr>
      <w:r w:rsidRPr="00DD571B">
        <w:rPr>
          <w:rFonts w:ascii="Calisto MT" w:hAnsi="Calisto MT"/>
          <w:b/>
          <w:color w:val="000000" w:themeColor="text1"/>
        </w:rPr>
        <w:t>Exhibit #X – Kaiser Economic Analysis</w:t>
      </w:r>
    </w:p>
    <w:p w:rsidR="00C83F8D" w:rsidRPr="008654CC" w:rsidRDefault="00C83F8D" w:rsidP="00C83F8D">
      <w:pPr>
        <w:rPr>
          <w:rFonts w:ascii="Calisto MT" w:hAnsi="Calisto MT"/>
          <w:b/>
          <w:bCs/>
        </w:rPr>
      </w:pPr>
    </w:p>
    <w:p w:rsidR="00C83F8D" w:rsidRPr="008654CC" w:rsidRDefault="00C83F8D" w:rsidP="00C83F8D">
      <w:pPr>
        <w:rPr>
          <w:rFonts w:ascii="Calisto MT" w:hAnsi="Calisto MT"/>
        </w:rPr>
      </w:pPr>
    </w:p>
    <w:p w:rsidR="00C83F8D" w:rsidRPr="008654CC" w:rsidRDefault="00C83F8D" w:rsidP="00C83F8D">
      <w:pPr>
        <w:rPr>
          <w:rFonts w:ascii="Calisto MT" w:hAnsi="Calisto MT"/>
        </w:rPr>
      </w:pPr>
    </w:p>
    <w:p w:rsidR="00C83F8D" w:rsidRPr="008654CC" w:rsidRDefault="00C83F8D" w:rsidP="00C83F8D">
      <w:pPr>
        <w:rPr>
          <w:rFonts w:ascii="Calisto MT" w:hAnsi="Calisto MT"/>
        </w:rPr>
      </w:pPr>
      <w:r w:rsidRPr="008654CC">
        <w:rPr>
          <w:rFonts w:ascii="Calisto MT" w:hAnsi="Calisto MT"/>
        </w:rPr>
        <w:br w:type="page"/>
      </w:r>
    </w:p>
    <w:sectPr w:rsidR="00C83F8D" w:rsidRPr="00865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C9B" w:rsidRDefault="00721C9B" w:rsidP="00C83F8D">
      <w:r>
        <w:separator/>
      </w:r>
    </w:p>
  </w:endnote>
  <w:endnote w:type="continuationSeparator" w:id="0">
    <w:p w:rsidR="00721C9B" w:rsidRDefault="00721C9B" w:rsidP="00C8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655086"/>
      <w:docPartObj>
        <w:docPartGallery w:val="Page Numbers (Bottom of Page)"/>
        <w:docPartUnique/>
      </w:docPartObj>
    </w:sdtPr>
    <w:sdtEndPr>
      <w:rPr>
        <w:noProof/>
      </w:rPr>
    </w:sdtEndPr>
    <w:sdtContent>
      <w:p w:rsidR="00C83F8D" w:rsidRDefault="00C83F8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C83F8D" w:rsidRDefault="00C83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C9B" w:rsidRDefault="00721C9B" w:rsidP="00C83F8D">
      <w:r>
        <w:separator/>
      </w:r>
    </w:p>
  </w:footnote>
  <w:footnote w:type="continuationSeparator" w:id="0">
    <w:p w:rsidR="00721C9B" w:rsidRDefault="00721C9B" w:rsidP="00C83F8D">
      <w:r>
        <w:continuationSeparator/>
      </w:r>
    </w:p>
  </w:footnote>
  <w:footnote w:id="1">
    <w:p w:rsidR="00C83F8D" w:rsidRPr="00A370E6" w:rsidRDefault="00C83F8D" w:rsidP="00C83F8D">
      <w:pPr>
        <w:rPr>
          <w:sz w:val="20"/>
          <w:szCs w:val="20"/>
        </w:rPr>
      </w:pPr>
      <w:r w:rsidRPr="00A370E6">
        <w:rPr>
          <w:rStyle w:val="FootnoteReference"/>
          <w:sz w:val="20"/>
          <w:szCs w:val="20"/>
        </w:rPr>
        <w:footnoteRef/>
      </w:r>
      <w:r w:rsidRPr="00A370E6">
        <w:rPr>
          <w:sz w:val="20"/>
          <w:szCs w:val="20"/>
        </w:rPr>
        <w:t xml:space="preserve"> Harry M. Kaiser, Julian M. Alston, John M. </w:t>
      </w:r>
      <w:proofErr w:type="spellStart"/>
      <w:r w:rsidRPr="00A370E6">
        <w:rPr>
          <w:sz w:val="20"/>
          <w:szCs w:val="20"/>
        </w:rPr>
        <w:t>Crespi</w:t>
      </w:r>
      <w:proofErr w:type="spellEnd"/>
      <w:r w:rsidRPr="00A370E6">
        <w:rPr>
          <w:sz w:val="20"/>
          <w:szCs w:val="20"/>
        </w:rPr>
        <w:t xml:space="preserve">, and Richard J. Sexton, editors. </w:t>
      </w:r>
      <w:r w:rsidRPr="00A370E6">
        <w:rPr>
          <w:i/>
          <w:sz w:val="20"/>
          <w:szCs w:val="20"/>
        </w:rPr>
        <w:t>The Economics of</w:t>
      </w:r>
      <w:r w:rsidRPr="00A370E6">
        <w:rPr>
          <w:sz w:val="20"/>
          <w:szCs w:val="20"/>
        </w:rPr>
        <w:t xml:space="preserve"> </w:t>
      </w:r>
      <w:r w:rsidRPr="00A370E6">
        <w:rPr>
          <w:i/>
          <w:iCs/>
          <w:sz w:val="20"/>
          <w:szCs w:val="20"/>
        </w:rPr>
        <w:t xml:space="preserve">Commodity Promotion Programs: Lessons from California. </w:t>
      </w:r>
      <w:r w:rsidRPr="00A370E6">
        <w:rPr>
          <w:sz w:val="20"/>
          <w:szCs w:val="20"/>
        </w:rPr>
        <w:t>New York: Peter Lang Publishing Incorporated, 2005.</w:t>
      </w:r>
    </w:p>
  </w:footnote>
  <w:footnote w:id="2">
    <w:p w:rsidR="00C83F8D" w:rsidRPr="00A370E6" w:rsidRDefault="00C83F8D" w:rsidP="00C83F8D">
      <w:pPr>
        <w:pStyle w:val="FootnoteText"/>
        <w:rPr>
          <w:rFonts w:ascii="Times New Roman" w:hAnsi="Times New Roman" w:cs="Times New Roman"/>
        </w:rPr>
      </w:pPr>
      <w:r w:rsidRPr="00A370E6">
        <w:rPr>
          <w:rStyle w:val="FootnoteReference"/>
          <w:rFonts w:ascii="Times New Roman" w:hAnsi="Times New Roman" w:cs="Times New Roman"/>
        </w:rPr>
        <w:footnoteRef/>
      </w:r>
      <w:r w:rsidRPr="00A370E6">
        <w:rPr>
          <w:rFonts w:ascii="Times New Roman" w:hAnsi="Times New Roman" w:cs="Times New Roman"/>
        </w:rPr>
        <w:t xml:space="preserve"> Justification 4: producers and handlers</w:t>
      </w:r>
    </w:p>
  </w:footnote>
  <w:footnote w:id="3">
    <w:p w:rsidR="00C83F8D" w:rsidRPr="00A370E6" w:rsidRDefault="00C83F8D" w:rsidP="00C83F8D">
      <w:pPr>
        <w:pStyle w:val="FootnoteText"/>
        <w:rPr>
          <w:rFonts w:ascii="Times New Roman" w:hAnsi="Times New Roman" w:cs="Times New Roman"/>
        </w:rPr>
      </w:pPr>
      <w:r w:rsidRPr="00A370E6">
        <w:rPr>
          <w:rStyle w:val="FootnoteReference"/>
          <w:rFonts w:ascii="Times New Roman" w:hAnsi="Times New Roman" w:cs="Times New Roman"/>
        </w:rPr>
        <w:footnoteRef/>
      </w:r>
      <w:r w:rsidRPr="00A370E6">
        <w:rPr>
          <w:rFonts w:ascii="Times New Roman" w:hAnsi="Times New Roman" w:cs="Times New Roman"/>
        </w:rPr>
        <w:t xml:space="preserve"> Justification 4: consumers</w:t>
      </w:r>
    </w:p>
  </w:footnote>
  <w:footnote w:id="4">
    <w:p w:rsidR="00C83F8D" w:rsidRPr="00A370E6" w:rsidRDefault="00C83F8D" w:rsidP="00C83F8D">
      <w:pPr>
        <w:pStyle w:val="FootnoteText"/>
        <w:rPr>
          <w:rFonts w:ascii="Times New Roman" w:hAnsi="Times New Roman" w:cs="Times New Roman"/>
        </w:rPr>
      </w:pPr>
      <w:r w:rsidRPr="00A370E6">
        <w:rPr>
          <w:rStyle w:val="FootnoteReference"/>
          <w:rFonts w:ascii="Times New Roman" w:hAnsi="Times New Roman" w:cs="Times New Roman"/>
        </w:rPr>
        <w:footnoteRef/>
      </w:r>
      <w:r w:rsidRPr="00A370E6">
        <w:rPr>
          <w:rFonts w:ascii="Times New Roman" w:hAnsi="Times New Roman" w:cs="Times New Roman"/>
        </w:rPr>
        <w:t xml:space="preserve">National Agricultural Statistics Service, United States Department of Agriculture. 2018. “2017 California Walnut Acreage Report.” May 23.  Available at </w:t>
      </w:r>
      <w:hyperlink r:id="rId1" w:history="1">
        <w:r w:rsidRPr="00A370E6">
          <w:rPr>
            <w:rStyle w:val="Hyperlink"/>
          </w:rPr>
          <w:t>https://walnuts.org/report/acreage-report-2017/</w:t>
        </w:r>
      </w:hyperlink>
      <w:r w:rsidRPr="00A370E6">
        <w:rPr>
          <w:rFonts w:ascii="Times New Roman" w:hAnsi="Times New Roman" w:cs="Times New Roman"/>
        </w:rPr>
        <w:t xml:space="preserve">. </w:t>
      </w:r>
    </w:p>
  </w:footnote>
  <w:footnote w:id="5">
    <w:p w:rsidR="00C83F8D" w:rsidRPr="00A370E6" w:rsidRDefault="00C83F8D" w:rsidP="00C83F8D">
      <w:pPr>
        <w:pStyle w:val="FootnoteText"/>
        <w:rPr>
          <w:rFonts w:ascii="Times New Roman" w:hAnsi="Times New Roman" w:cs="Times New Roman"/>
        </w:rPr>
      </w:pPr>
      <w:r w:rsidRPr="00A370E6">
        <w:rPr>
          <w:rStyle w:val="FootnoteReference"/>
          <w:rFonts w:ascii="Times New Roman" w:hAnsi="Times New Roman" w:cs="Times New Roman"/>
        </w:rPr>
        <w:footnoteRef/>
      </w:r>
      <w:r w:rsidRPr="00A370E6">
        <w:rPr>
          <w:rFonts w:ascii="Times New Roman" w:hAnsi="Times New Roman" w:cs="Times New Roman"/>
        </w:rPr>
        <w:t xml:space="preserve"> 5. Quantify improvement in returns to industry.</w:t>
      </w:r>
    </w:p>
  </w:footnote>
  <w:footnote w:id="6">
    <w:p w:rsidR="00C83F8D" w:rsidRPr="00A370E6" w:rsidRDefault="00C83F8D" w:rsidP="00C83F8D">
      <w:pPr>
        <w:pStyle w:val="FootnoteText"/>
        <w:rPr>
          <w:rFonts w:ascii="Times New Roman" w:hAnsi="Times New Roman" w:cs="Times New Roman"/>
        </w:rPr>
      </w:pPr>
      <w:r w:rsidRPr="00A370E6">
        <w:rPr>
          <w:rStyle w:val="FootnoteReference"/>
          <w:rFonts w:ascii="Times New Roman" w:hAnsi="Times New Roman" w:cs="Times New Roman"/>
        </w:rPr>
        <w:footnoteRef/>
      </w:r>
      <w:r w:rsidRPr="00A370E6">
        <w:rPr>
          <w:rFonts w:ascii="Times New Roman" w:hAnsi="Times New Roman" w:cs="Times New Roman"/>
        </w:rPr>
        <w:t xml:space="preserve"> 7. Costs</w:t>
      </w:r>
    </w:p>
  </w:footnote>
  <w:footnote w:id="7">
    <w:p w:rsidR="00C83F8D" w:rsidRPr="00A370E6" w:rsidRDefault="00C83F8D" w:rsidP="00C83F8D">
      <w:pPr>
        <w:pStyle w:val="FootnoteText"/>
        <w:rPr>
          <w:rFonts w:ascii="Times New Roman" w:hAnsi="Times New Roman" w:cs="Times New Roman"/>
        </w:rPr>
      </w:pPr>
      <w:r w:rsidRPr="00A370E6">
        <w:rPr>
          <w:rStyle w:val="FootnoteReference"/>
          <w:rFonts w:ascii="Times New Roman" w:hAnsi="Times New Roman" w:cs="Times New Roman"/>
        </w:rPr>
        <w:footnoteRef/>
      </w:r>
      <w:r w:rsidRPr="00A370E6">
        <w:rPr>
          <w:rFonts w:ascii="Times New Roman" w:hAnsi="Times New Roman" w:cs="Times New Roman"/>
        </w:rPr>
        <w:t xml:space="preserve"> 6. Effects on small business.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63FB2"/>
    <w:multiLevelType w:val="hybridMultilevel"/>
    <w:tmpl w:val="B656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C0628"/>
    <w:multiLevelType w:val="hybridMultilevel"/>
    <w:tmpl w:val="0F6292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F8D"/>
    <w:rsid w:val="00053D20"/>
    <w:rsid w:val="001C74FC"/>
    <w:rsid w:val="003235AD"/>
    <w:rsid w:val="00721C9B"/>
    <w:rsid w:val="009F09B1"/>
    <w:rsid w:val="00C83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45DC5-C275-45D6-A223-CC73BD1A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3F8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9F09B1"/>
    <w:pPr>
      <w:shd w:val="clear" w:color="auto" w:fill="833C0B" w:themeFill="accent2" w:themeFillShade="80"/>
      <w:spacing w:before="300" w:after="40"/>
      <w:outlineLvl w:val="0"/>
    </w:pPr>
    <w:rPr>
      <w:rFonts w:ascii="Calisto MT" w:hAnsi="Calisto MT"/>
      <w:b/>
      <w:color w:val="FFFFFF" w:themeColor="background1"/>
      <w:spacing w:val="5"/>
      <w:sz w:val="28"/>
      <w:szCs w:val="32"/>
      <w:lang w:eastAsia="ja-JP"/>
    </w:rPr>
  </w:style>
  <w:style w:type="paragraph" w:styleId="Heading2">
    <w:name w:val="heading 2"/>
    <w:basedOn w:val="Normal"/>
    <w:next w:val="Normal"/>
    <w:link w:val="Heading2Char"/>
    <w:autoRedefine/>
    <w:uiPriority w:val="9"/>
    <w:qFormat/>
    <w:rsid w:val="009F09B1"/>
    <w:pPr>
      <w:pBdr>
        <w:top w:val="single" w:sz="6" w:space="1" w:color="833C0B" w:themeColor="accent2" w:themeShade="80"/>
        <w:left w:val="single" w:sz="48" w:space="1" w:color="833C0B" w:themeColor="accent2" w:themeShade="80"/>
        <w:bottom w:val="single" w:sz="6" w:space="1" w:color="833C0B" w:themeColor="accent2" w:themeShade="80"/>
        <w:right w:val="single" w:sz="6" w:space="1" w:color="833C0B" w:themeColor="accent2" w:themeShade="80"/>
      </w:pBdr>
      <w:spacing w:before="240" w:after="80"/>
      <w:ind w:left="144"/>
      <w:jc w:val="both"/>
      <w:outlineLvl w:val="1"/>
    </w:pPr>
    <w:rPr>
      <w:rFonts w:ascii="Calisto MT" w:hAnsi="Calisto MT"/>
      <w:color w:val="996633"/>
      <w:spacing w:val="5"/>
      <w:szCs w:val="28"/>
      <w:lang w:eastAsia="ja-JP"/>
    </w:rPr>
  </w:style>
  <w:style w:type="paragraph" w:styleId="Heading4">
    <w:name w:val="heading 4"/>
    <w:basedOn w:val="Normal"/>
    <w:next w:val="Normal"/>
    <w:link w:val="Heading4Char"/>
    <w:autoRedefine/>
    <w:uiPriority w:val="9"/>
    <w:unhideWhenUsed/>
    <w:qFormat/>
    <w:rsid w:val="009F09B1"/>
    <w:pPr>
      <w:pBdr>
        <w:bottom w:val="single" w:sz="6" w:space="1" w:color="A6A6A6" w:themeColor="background1" w:themeShade="A6"/>
      </w:pBdr>
      <w:spacing w:before="200" w:after="80"/>
      <w:jc w:val="both"/>
      <w:outlineLvl w:val="3"/>
    </w:pPr>
    <w:rPr>
      <w:rFonts w:ascii="Calisto MT" w:hAnsi="Calisto MT"/>
      <w:color w:val="595959" w:themeColor="text1" w:themeTint="A6"/>
      <w:lang w:eastAsia="ja-JP"/>
    </w:rPr>
  </w:style>
  <w:style w:type="paragraph" w:styleId="Heading5">
    <w:name w:val="heading 5"/>
    <w:basedOn w:val="Normal"/>
    <w:next w:val="Normal"/>
    <w:link w:val="Heading5Char"/>
    <w:autoRedefine/>
    <w:uiPriority w:val="9"/>
    <w:semiHidden/>
    <w:unhideWhenUsed/>
    <w:qFormat/>
    <w:rsid w:val="009F09B1"/>
    <w:pPr>
      <w:pBdr>
        <w:bottom w:val="dashed" w:sz="4" w:space="1" w:color="A6A6A6" w:themeColor="background1" w:themeShade="A6"/>
      </w:pBdr>
      <w:spacing w:before="200" w:after="80"/>
      <w:jc w:val="both"/>
      <w:outlineLvl w:val="4"/>
    </w:pPr>
    <w:rPr>
      <w:rFonts w:ascii="Calisto MT" w:hAnsi="Calisto MT"/>
      <w:color w:val="404040" w:themeColor="text1" w:themeTint="BF"/>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09B1"/>
    <w:rPr>
      <w:rFonts w:ascii="Calisto MT" w:hAnsi="Calisto MT" w:cs="Times New Roman"/>
      <w:b/>
      <w:color w:val="FFFFFF" w:themeColor="background1"/>
      <w:spacing w:val="5"/>
      <w:sz w:val="28"/>
      <w:szCs w:val="32"/>
      <w:shd w:val="clear" w:color="auto" w:fill="833C0B" w:themeFill="accent2" w:themeFillShade="80"/>
      <w:lang w:eastAsia="ja-JP"/>
    </w:rPr>
  </w:style>
  <w:style w:type="character" w:customStyle="1" w:styleId="Heading2Char">
    <w:name w:val="Heading 2 Char"/>
    <w:basedOn w:val="DefaultParagraphFont"/>
    <w:link w:val="Heading2"/>
    <w:uiPriority w:val="9"/>
    <w:rsid w:val="009F09B1"/>
    <w:rPr>
      <w:rFonts w:ascii="Calisto MT" w:hAnsi="Calisto MT" w:cs="Times New Roman"/>
      <w:color w:val="996633"/>
      <w:spacing w:val="5"/>
      <w:szCs w:val="28"/>
      <w:lang w:eastAsia="ja-JP"/>
    </w:rPr>
  </w:style>
  <w:style w:type="character" w:customStyle="1" w:styleId="Heading4Char">
    <w:name w:val="Heading 4 Char"/>
    <w:basedOn w:val="DefaultParagraphFont"/>
    <w:link w:val="Heading4"/>
    <w:uiPriority w:val="9"/>
    <w:rsid w:val="009F09B1"/>
    <w:rPr>
      <w:rFonts w:ascii="Calisto MT" w:hAnsi="Calisto MT" w:cs="Times New Roman"/>
      <w:color w:val="595959" w:themeColor="text1" w:themeTint="A6"/>
      <w:lang w:eastAsia="ja-JP"/>
    </w:rPr>
  </w:style>
  <w:style w:type="character" w:customStyle="1" w:styleId="Heading5Char">
    <w:name w:val="Heading 5 Char"/>
    <w:basedOn w:val="DefaultParagraphFont"/>
    <w:link w:val="Heading5"/>
    <w:uiPriority w:val="9"/>
    <w:semiHidden/>
    <w:rsid w:val="009F09B1"/>
    <w:rPr>
      <w:rFonts w:ascii="Calisto MT" w:hAnsi="Calisto MT" w:cs="Times New Roman"/>
      <w:color w:val="404040" w:themeColor="text1" w:themeTint="BF"/>
      <w:szCs w:val="26"/>
      <w:lang w:eastAsia="ja-JP"/>
    </w:rPr>
  </w:style>
  <w:style w:type="paragraph" w:styleId="Footer">
    <w:name w:val="footer"/>
    <w:basedOn w:val="Normal"/>
    <w:link w:val="FooterChar"/>
    <w:uiPriority w:val="99"/>
    <w:rsid w:val="00C83F8D"/>
    <w:pPr>
      <w:tabs>
        <w:tab w:val="center" w:pos="4320"/>
        <w:tab w:val="right" w:pos="8640"/>
      </w:tabs>
    </w:pPr>
  </w:style>
  <w:style w:type="character" w:customStyle="1" w:styleId="FooterChar">
    <w:name w:val="Footer Char"/>
    <w:basedOn w:val="DefaultParagraphFont"/>
    <w:link w:val="Footer"/>
    <w:uiPriority w:val="99"/>
    <w:rsid w:val="00C83F8D"/>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sid w:val="00C83F8D"/>
    <w:rPr>
      <w:sz w:val="20"/>
      <w:szCs w:val="20"/>
    </w:rPr>
  </w:style>
  <w:style w:type="character" w:customStyle="1" w:styleId="CommentTextChar">
    <w:name w:val="Comment Text Char"/>
    <w:basedOn w:val="DefaultParagraphFont"/>
    <w:link w:val="CommentText"/>
    <w:uiPriority w:val="99"/>
    <w:semiHidden/>
    <w:rsid w:val="00C83F8D"/>
    <w:rPr>
      <w:rFonts w:ascii="Times New Roman" w:eastAsia="Times New Roman" w:hAnsi="Times New Roman" w:cs="Times New Roman"/>
      <w:sz w:val="20"/>
      <w:szCs w:val="20"/>
    </w:rPr>
  </w:style>
  <w:style w:type="paragraph" w:styleId="BodyText2">
    <w:name w:val="Body Text 2"/>
    <w:basedOn w:val="Normal"/>
    <w:link w:val="BodyText2Char"/>
    <w:semiHidden/>
    <w:rsid w:val="00C83F8D"/>
    <w:rPr>
      <w:rFonts w:ascii="Arial Narrow" w:hAnsi="Arial Narrow"/>
      <w:b/>
      <w:bCs/>
      <w:sz w:val="22"/>
    </w:rPr>
  </w:style>
  <w:style w:type="character" w:customStyle="1" w:styleId="BodyText2Char">
    <w:name w:val="Body Text 2 Char"/>
    <w:basedOn w:val="DefaultParagraphFont"/>
    <w:link w:val="BodyText2"/>
    <w:semiHidden/>
    <w:rsid w:val="00C83F8D"/>
    <w:rPr>
      <w:rFonts w:ascii="Arial Narrow" w:eastAsia="Times New Roman" w:hAnsi="Arial Narrow" w:cs="Times New Roman"/>
      <w:b/>
      <w:bCs/>
      <w:szCs w:val="24"/>
    </w:rPr>
  </w:style>
  <w:style w:type="paragraph" w:styleId="ListParagraph">
    <w:name w:val="List Paragraph"/>
    <w:basedOn w:val="Normal"/>
    <w:uiPriority w:val="34"/>
    <w:qFormat/>
    <w:rsid w:val="00C83F8D"/>
    <w:pPr>
      <w:ind w:left="720"/>
      <w:contextualSpacing/>
    </w:pPr>
  </w:style>
  <w:style w:type="paragraph" w:styleId="FootnoteText">
    <w:name w:val="footnote text"/>
    <w:basedOn w:val="Normal"/>
    <w:link w:val="FootnoteTextChar"/>
    <w:uiPriority w:val="99"/>
    <w:semiHidden/>
    <w:unhideWhenUsed/>
    <w:rsid w:val="00C83F8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3F8D"/>
    <w:rPr>
      <w:sz w:val="20"/>
      <w:szCs w:val="20"/>
    </w:rPr>
  </w:style>
  <w:style w:type="character" w:styleId="FootnoteReference">
    <w:name w:val="footnote reference"/>
    <w:basedOn w:val="DefaultParagraphFont"/>
    <w:uiPriority w:val="99"/>
    <w:semiHidden/>
    <w:unhideWhenUsed/>
    <w:rsid w:val="00C83F8D"/>
    <w:rPr>
      <w:vertAlign w:val="superscript"/>
    </w:rPr>
  </w:style>
  <w:style w:type="table" w:styleId="PlainTable2">
    <w:name w:val="Plain Table 2"/>
    <w:basedOn w:val="TableNormal"/>
    <w:uiPriority w:val="42"/>
    <w:rsid w:val="00C83F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C83F8D"/>
    <w:rPr>
      <w:color w:val="0563C1" w:themeColor="hyperlink"/>
      <w:u w:val="single"/>
    </w:rPr>
  </w:style>
  <w:style w:type="paragraph" w:styleId="NoSpacing">
    <w:name w:val="No Spacing"/>
    <w:uiPriority w:val="1"/>
    <w:qFormat/>
    <w:rsid w:val="00C83F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alnuts.org/report/acreage-report-201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Desktop\Credit%20back%202019-20\figu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'Demand and supply shifts'!$B$10</c:f>
              <c:strCache>
                <c:ptCount val="1"/>
                <c:pt idx="0">
                  <c:v>Initial Demand</c:v>
                </c:pt>
              </c:strCache>
            </c:strRef>
          </c:tx>
          <c:spPr>
            <a:ln w="50800" cap="rnd">
              <a:solidFill>
                <a:srgbClr val="FF0000"/>
              </a:solidFill>
              <a:round/>
            </a:ln>
            <a:effectLst/>
          </c:spPr>
          <c:marker>
            <c:symbol val="none"/>
          </c:marker>
          <c:xVal>
            <c:numRef>
              <c:f>'Demand and supply shifts'!$A$11:$A$20</c:f>
              <c:numCache>
                <c:formatCode>General</c:formatCode>
                <c:ptCount val="10"/>
                <c:pt idx="0">
                  <c:v>1</c:v>
                </c:pt>
                <c:pt idx="1">
                  <c:v>5</c:v>
                </c:pt>
                <c:pt idx="2">
                  <c:v>10</c:v>
                </c:pt>
                <c:pt idx="3">
                  <c:v>15</c:v>
                </c:pt>
                <c:pt idx="4">
                  <c:v>20</c:v>
                </c:pt>
                <c:pt idx="5">
                  <c:v>25</c:v>
                </c:pt>
                <c:pt idx="6">
                  <c:v>30</c:v>
                </c:pt>
                <c:pt idx="7">
                  <c:v>35</c:v>
                </c:pt>
                <c:pt idx="8">
                  <c:v>40</c:v>
                </c:pt>
                <c:pt idx="9">
                  <c:v>45</c:v>
                </c:pt>
              </c:numCache>
            </c:numRef>
          </c:xVal>
          <c:yVal>
            <c:numRef>
              <c:f>'Demand and supply shifts'!$B$11:$B$20</c:f>
              <c:numCache>
                <c:formatCode>General</c:formatCode>
                <c:ptCount val="10"/>
                <c:pt idx="0">
                  <c:v>98</c:v>
                </c:pt>
                <c:pt idx="1">
                  <c:v>90</c:v>
                </c:pt>
                <c:pt idx="2">
                  <c:v>80</c:v>
                </c:pt>
                <c:pt idx="3">
                  <c:v>70</c:v>
                </c:pt>
                <c:pt idx="4">
                  <c:v>60</c:v>
                </c:pt>
                <c:pt idx="5">
                  <c:v>50</c:v>
                </c:pt>
                <c:pt idx="6">
                  <c:v>40</c:v>
                </c:pt>
                <c:pt idx="7">
                  <c:v>30</c:v>
                </c:pt>
                <c:pt idx="8">
                  <c:v>20</c:v>
                </c:pt>
                <c:pt idx="9">
                  <c:v>10</c:v>
                </c:pt>
              </c:numCache>
            </c:numRef>
          </c:yVal>
          <c:smooth val="0"/>
          <c:extLst>
            <c:ext xmlns:c16="http://schemas.microsoft.com/office/drawing/2014/chart" uri="{C3380CC4-5D6E-409C-BE32-E72D297353CC}">
              <c16:uniqueId val="{00000000-B1E2-4B98-8BD8-CD979205B8DD}"/>
            </c:ext>
          </c:extLst>
        </c:ser>
        <c:ser>
          <c:idx val="1"/>
          <c:order val="1"/>
          <c:tx>
            <c:strRef>
              <c:f>'Demand and supply shifts'!$C$10</c:f>
              <c:strCache>
                <c:ptCount val="1"/>
                <c:pt idx="0">
                  <c:v>Initial Supply</c:v>
                </c:pt>
              </c:strCache>
            </c:strRef>
          </c:tx>
          <c:spPr>
            <a:ln w="50800" cap="rnd">
              <a:solidFill>
                <a:srgbClr val="0070C0"/>
              </a:solidFill>
              <a:round/>
            </a:ln>
            <a:effectLst/>
          </c:spPr>
          <c:marker>
            <c:symbol val="none"/>
          </c:marker>
          <c:xVal>
            <c:numRef>
              <c:f>'Demand and supply shifts'!$A$11:$A$20</c:f>
              <c:numCache>
                <c:formatCode>General</c:formatCode>
                <c:ptCount val="10"/>
                <c:pt idx="0">
                  <c:v>1</c:v>
                </c:pt>
                <c:pt idx="1">
                  <c:v>5</c:v>
                </c:pt>
                <c:pt idx="2">
                  <c:v>10</c:v>
                </c:pt>
                <c:pt idx="3">
                  <c:v>15</c:v>
                </c:pt>
                <c:pt idx="4">
                  <c:v>20</c:v>
                </c:pt>
                <c:pt idx="5">
                  <c:v>25</c:v>
                </c:pt>
                <c:pt idx="6">
                  <c:v>30</c:v>
                </c:pt>
                <c:pt idx="7">
                  <c:v>35</c:v>
                </c:pt>
                <c:pt idx="8">
                  <c:v>40</c:v>
                </c:pt>
                <c:pt idx="9">
                  <c:v>45</c:v>
                </c:pt>
              </c:numCache>
            </c:numRef>
          </c:xVal>
          <c:yVal>
            <c:numRef>
              <c:f>'Demand and supply shifts'!$C$11:$C$20</c:f>
              <c:numCache>
                <c:formatCode>General</c:formatCode>
                <c:ptCount val="10"/>
                <c:pt idx="0">
                  <c:v>32.5</c:v>
                </c:pt>
                <c:pt idx="1">
                  <c:v>42.5</c:v>
                </c:pt>
                <c:pt idx="2">
                  <c:v>55</c:v>
                </c:pt>
                <c:pt idx="3">
                  <c:v>67.5</c:v>
                </c:pt>
                <c:pt idx="4">
                  <c:v>80</c:v>
                </c:pt>
                <c:pt idx="5">
                  <c:v>92.5</c:v>
                </c:pt>
                <c:pt idx="6">
                  <c:v>105</c:v>
                </c:pt>
                <c:pt idx="7">
                  <c:v>117.5</c:v>
                </c:pt>
                <c:pt idx="8">
                  <c:v>130</c:v>
                </c:pt>
                <c:pt idx="9">
                  <c:v>142.5</c:v>
                </c:pt>
              </c:numCache>
            </c:numRef>
          </c:yVal>
          <c:smooth val="0"/>
          <c:extLst>
            <c:ext xmlns:c16="http://schemas.microsoft.com/office/drawing/2014/chart" uri="{C3380CC4-5D6E-409C-BE32-E72D297353CC}">
              <c16:uniqueId val="{00000001-B1E2-4B98-8BD8-CD979205B8DD}"/>
            </c:ext>
          </c:extLst>
        </c:ser>
        <c:ser>
          <c:idx val="3"/>
          <c:order val="3"/>
          <c:tx>
            <c:strRef>
              <c:f>'Demand and supply shifts'!$E$10</c:f>
              <c:strCache>
                <c:ptCount val="1"/>
                <c:pt idx="0">
                  <c:v>Increased Supply</c:v>
                </c:pt>
              </c:strCache>
            </c:strRef>
          </c:tx>
          <c:spPr>
            <a:ln w="50800" cap="rnd">
              <a:solidFill>
                <a:srgbClr val="0070C0"/>
              </a:solidFill>
              <a:prstDash val="dash"/>
              <a:round/>
            </a:ln>
            <a:effectLst/>
          </c:spPr>
          <c:marker>
            <c:symbol val="none"/>
          </c:marker>
          <c:xVal>
            <c:numRef>
              <c:f>'Demand and supply shifts'!$A$11:$A$20</c:f>
              <c:numCache>
                <c:formatCode>General</c:formatCode>
                <c:ptCount val="10"/>
                <c:pt idx="0">
                  <c:v>1</c:v>
                </c:pt>
                <c:pt idx="1">
                  <c:v>5</c:v>
                </c:pt>
                <c:pt idx="2">
                  <c:v>10</c:v>
                </c:pt>
                <c:pt idx="3">
                  <c:v>15</c:v>
                </c:pt>
                <c:pt idx="4">
                  <c:v>20</c:v>
                </c:pt>
                <c:pt idx="5">
                  <c:v>25</c:v>
                </c:pt>
                <c:pt idx="6">
                  <c:v>30</c:v>
                </c:pt>
                <c:pt idx="7">
                  <c:v>35</c:v>
                </c:pt>
                <c:pt idx="8">
                  <c:v>40</c:v>
                </c:pt>
                <c:pt idx="9">
                  <c:v>45</c:v>
                </c:pt>
              </c:numCache>
            </c:numRef>
          </c:xVal>
          <c:yVal>
            <c:numRef>
              <c:f>'Demand and supply shifts'!$E$11:$E$20</c:f>
              <c:numCache>
                <c:formatCode>General</c:formatCode>
                <c:ptCount val="10"/>
                <c:pt idx="0">
                  <c:v>2.5</c:v>
                </c:pt>
                <c:pt idx="1">
                  <c:v>12.5</c:v>
                </c:pt>
                <c:pt idx="2">
                  <c:v>25</c:v>
                </c:pt>
                <c:pt idx="3">
                  <c:v>37.5</c:v>
                </c:pt>
                <c:pt idx="4">
                  <c:v>50</c:v>
                </c:pt>
                <c:pt idx="5">
                  <c:v>62.5</c:v>
                </c:pt>
                <c:pt idx="6">
                  <c:v>75</c:v>
                </c:pt>
                <c:pt idx="7">
                  <c:v>87.5</c:v>
                </c:pt>
                <c:pt idx="8">
                  <c:v>100</c:v>
                </c:pt>
                <c:pt idx="9">
                  <c:v>112.5</c:v>
                </c:pt>
              </c:numCache>
            </c:numRef>
          </c:yVal>
          <c:smooth val="0"/>
          <c:extLst>
            <c:ext xmlns:c16="http://schemas.microsoft.com/office/drawing/2014/chart" uri="{C3380CC4-5D6E-409C-BE32-E72D297353CC}">
              <c16:uniqueId val="{00000002-B1E2-4B98-8BD8-CD979205B8DD}"/>
            </c:ext>
          </c:extLst>
        </c:ser>
        <c:dLbls>
          <c:showLegendKey val="0"/>
          <c:showVal val="0"/>
          <c:showCatName val="0"/>
          <c:showSerName val="0"/>
          <c:showPercent val="0"/>
          <c:showBubbleSize val="0"/>
        </c:dLbls>
        <c:axId val="470672536"/>
        <c:axId val="470673712"/>
        <c:extLst>
          <c:ext xmlns:c15="http://schemas.microsoft.com/office/drawing/2012/chart" uri="{02D57815-91ED-43cb-92C2-25804820EDAC}">
            <c15:filteredScatterSeries>
              <c15:ser>
                <c:idx val="2"/>
                <c:order val="2"/>
                <c:tx>
                  <c:strRef>
                    <c:extLst>
                      <c:ext uri="{02D57815-91ED-43cb-92C2-25804820EDAC}">
                        <c15:formulaRef>
                          <c15:sqref>'Demand and supply shifts'!$D$10</c15:sqref>
                        </c15:formulaRef>
                      </c:ext>
                    </c:extLst>
                    <c:strCache>
                      <c:ptCount val="1"/>
                      <c:pt idx="0">
                        <c:v>Demand with Credit-back</c:v>
                      </c:pt>
                    </c:strCache>
                  </c:strRef>
                </c:tx>
                <c:spPr>
                  <a:ln w="50800" cap="rnd">
                    <a:solidFill>
                      <a:srgbClr val="FF0000"/>
                    </a:solidFill>
                    <a:prstDash val="dash"/>
                    <a:round/>
                  </a:ln>
                  <a:effectLst/>
                </c:spPr>
                <c:marker>
                  <c:symbol val="none"/>
                </c:marker>
                <c:xVal>
                  <c:numRef>
                    <c:extLst>
                      <c:ext uri="{02D57815-91ED-43cb-92C2-25804820EDAC}">
                        <c15:formulaRef>
                          <c15:sqref>'Demand and supply shifts'!$A$11:$A$20</c15:sqref>
                        </c15:formulaRef>
                      </c:ext>
                    </c:extLst>
                    <c:numCache>
                      <c:formatCode>General</c:formatCode>
                      <c:ptCount val="10"/>
                      <c:pt idx="0">
                        <c:v>1</c:v>
                      </c:pt>
                      <c:pt idx="1">
                        <c:v>5</c:v>
                      </c:pt>
                      <c:pt idx="2">
                        <c:v>10</c:v>
                      </c:pt>
                      <c:pt idx="3">
                        <c:v>15</c:v>
                      </c:pt>
                      <c:pt idx="4">
                        <c:v>20</c:v>
                      </c:pt>
                      <c:pt idx="5">
                        <c:v>25</c:v>
                      </c:pt>
                      <c:pt idx="6">
                        <c:v>30</c:v>
                      </c:pt>
                      <c:pt idx="7">
                        <c:v>35</c:v>
                      </c:pt>
                      <c:pt idx="8">
                        <c:v>40</c:v>
                      </c:pt>
                      <c:pt idx="9">
                        <c:v>45</c:v>
                      </c:pt>
                    </c:numCache>
                  </c:numRef>
                </c:xVal>
                <c:yVal>
                  <c:numRef>
                    <c:extLst>
                      <c:ext uri="{02D57815-91ED-43cb-92C2-25804820EDAC}">
                        <c15:formulaRef>
                          <c15:sqref>'Demand and supply shifts'!$D$11:$D$20</c15:sqref>
                        </c15:formulaRef>
                      </c:ext>
                    </c:extLst>
                    <c:numCache>
                      <c:formatCode>General</c:formatCode>
                      <c:ptCount val="10"/>
                      <c:pt idx="0">
                        <c:v>138</c:v>
                      </c:pt>
                      <c:pt idx="1">
                        <c:v>130</c:v>
                      </c:pt>
                      <c:pt idx="2">
                        <c:v>120</c:v>
                      </c:pt>
                      <c:pt idx="3">
                        <c:v>110</c:v>
                      </c:pt>
                      <c:pt idx="4">
                        <c:v>100</c:v>
                      </c:pt>
                      <c:pt idx="5">
                        <c:v>90</c:v>
                      </c:pt>
                      <c:pt idx="6">
                        <c:v>80</c:v>
                      </c:pt>
                      <c:pt idx="7">
                        <c:v>70</c:v>
                      </c:pt>
                      <c:pt idx="8">
                        <c:v>60</c:v>
                      </c:pt>
                      <c:pt idx="9">
                        <c:v>50</c:v>
                      </c:pt>
                    </c:numCache>
                  </c:numRef>
                </c:yVal>
                <c:smooth val="0"/>
                <c:extLst>
                  <c:ext xmlns:c16="http://schemas.microsoft.com/office/drawing/2014/chart" uri="{C3380CC4-5D6E-409C-BE32-E72D297353CC}">
                    <c16:uniqueId val="{00000003-B1E2-4B98-8BD8-CD979205B8DD}"/>
                  </c:ext>
                </c:extLst>
              </c15:ser>
            </c15:filteredScatterSeries>
          </c:ext>
        </c:extLst>
      </c:scatterChart>
      <c:valAx>
        <c:axId val="470672536"/>
        <c:scaling>
          <c:orientation val="minMax"/>
        </c:scaling>
        <c:delete val="0"/>
        <c:axPos val="b"/>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673712"/>
        <c:crosses val="autoZero"/>
        <c:crossBetween val="midCat"/>
      </c:valAx>
      <c:valAx>
        <c:axId val="470673712"/>
        <c:scaling>
          <c:orientation val="minMax"/>
        </c:scaling>
        <c:delete val="0"/>
        <c:axPos val="l"/>
        <c:majorGridlines>
          <c:spPr>
            <a:ln w="9525" cap="flat" cmpd="sng" algn="ctr">
              <a:noFill/>
              <a:round/>
            </a:ln>
            <a:effectLst/>
          </c:spPr>
        </c:majorGridlines>
        <c:numFmt formatCode="General"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672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0.13889</cdr:x>
      <cdr:y>0.65162</cdr:y>
    </cdr:from>
    <cdr:to>
      <cdr:x>0.23334</cdr:x>
      <cdr:y>0.68403</cdr:y>
    </cdr:to>
    <cdr:cxnSp macro="">
      <cdr:nvCxnSpPr>
        <cdr:cNvPr id="7" name="Straight Arrow Connector 6"/>
        <cdr:cNvCxnSpPr/>
      </cdr:nvCxnSpPr>
      <cdr:spPr>
        <a:xfrm xmlns:a="http://schemas.openxmlformats.org/drawingml/2006/main">
          <a:off x="634990" y="1787525"/>
          <a:ext cx="431825" cy="88907"/>
        </a:xfrm>
        <a:prstGeom xmlns:a="http://schemas.openxmlformats.org/drawingml/2006/main" prst="straightConnector1">
          <a:avLst/>
        </a:prstGeom>
        <a:ln xmlns:a="http://schemas.openxmlformats.org/drawingml/2006/main" w="50800">
          <a:solidFill>
            <a:srgbClr val="0070C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0.31667</cdr:x>
      <cdr:y>0.522</cdr:y>
    </cdr:from>
    <cdr:to>
      <cdr:x>0.31944</cdr:x>
      <cdr:y>0.83218</cdr:y>
    </cdr:to>
    <cdr:cxnSp macro="">
      <cdr:nvCxnSpPr>
        <cdr:cNvPr id="11" name="Straight Connector 10"/>
        <cdr:cNvCxnSpPr/>
      </cdr:nvCxnSpPr>
      <cdr:spPr>
        <a:xfrm xmlns:a="http://schemas.openxmlformats.org/drawingml/2006/main" flipH="1">
          <a:off x="1447815" y="1431937"/>
          <a:ext cx="12665" cy="850886"/>
        </a:xfrm>
        <a:prstGeom xmlns:a="http://schemas.openxmlformats.org/drawingml/2006/main" prst="line">
          <a:avLst/>
        </a:prstGeom>
        <a:ln xmlns:a="http://schemas.openxmlformats.org/drawingml/2006/main" w="1270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0.03195</cdr:x>
      <cdr:y>0.49653</cdr:y>
    </cdr:from>
    <cdr:to>
      <cdr:x>0.32083</cdr:x>
      <cdr:y>0.49884</cdr:y>
    </cdr:to>
    <cdr:cxnSp macro="">
      <cdr:nvCxnSpPr>
        <cdr:cNvPr id="13" name="Straight Connector 12"/>
        <cdr:cNvCxnSpPr/>
      </cdr:nvCxnSpPr>
      <cdr:spPr>
        <a:xfrm xmlns:a="http://schemas.openxmlformats.org/drawingml/2006/main" flipV="1">
          <a:off x="146070" y="1362086"/>
          <a:ext cx="1320760" cy="6337"/>
        </a:xfrm>
        <a:prstGeom xmlns:a="http://schemas.openxmlformats.org/drawingml/2006/main" prst="line">
          <a:avLst/>
        </a:prstGeom>
        <a:ln xmlns:a="http://schemas.openxmlformats.org/drawingml/2006/main" w="12700">
          <a:prstDash val="sysDot"/>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0.44306</cdr:x>
      <cdr:y>0.56366</cdr:y>
    </cdr:from>
    <cdr:to>
      <cdr:x>0.44584</cdr:x>
      <cdr:y>0.85301</cdr:y>
    </cdr:to>
    <cdr:cxnSp macro="">
      <cdr:nvCxnSpPr>
        <cdr:cNvPr id="17" name="Straight Connector 16"/>
        <cdr:cNvCxnSpPr/>
      </cdr:nvCxnSpPr>
      <cdr:spPr>
        <a:xfrm xmlns:a="http://schemas.openxmlformats.org/drawingml/2006/main">
          <a:off x="2025650" y="1546225"/>
          <a:ext cx="12710" cy="793747"/>
        </a:xfrm>
        <a:prstGeom xmlns:a="http://schemas.openxmlformats.org/drawingml/2006/main" prst="line">
          <a:avLst/>
        </a:prstGeom>
        <a:ln xmlns:a="http://schemas.openxmlformats.org/drawingml/2006/main" w="1270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0.03194</cdr:x>
      <cdr:y>0.57292</cdr:y>
    </cdr:from>
    <cdr:to>
      <cdr:x>0.44306</cdr:x>
      <cdr:y>0.58218</cdr:y>
    </cdr:to>
    <cdr:cxnSp macro="">
      <cdr:nvCxnSpPr>
        <cdr:cNvPr id="21" name="Straight Connector 20"/>
        <cdr:cNvCxnSpPr/>
      </cdr:nvCxnSpPr>
      <cdr:spPr>
        <a:xfrm xmlns:a="http://schemas.openxmlformats.org/drawingml/2006/main" flipV="1">
          <a:off x="146050" y="1571625"/>
          <a:ext cx="1879600" cy="25400"/>
        </a:xfrm>
        <a:prstGeom xmlns:a="http://schemas.openxmlformats.org/drawingml/2006/main" prst="line">
          <a:avLst/>
        </a:prstGeom>
        <a:ln xmlns:a="http://schemas.openxmlformats.org/drawingml/2006/main" w="12700">
          <a:solidFill>
            <a:schemeClr val="tx1"/>
          </a:solidFill>
          <a:prstDash val="sysDot"/>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0.04722</cdr:x>
      <cdr:y>0.08681</cdr:y>
    </cdr:from>
    <cdr:to>
      <cdr:x>0.15</cdr:x>
      <cdr:y>0.20255</cdr:y>
    </cdr:to>
    <cdr:sp macro="" textlink="">
      <cdr:nvSpPr>
        <cdr:cNvPr id="37" name="TextBox 36"/>
        <cdr:cNvSpPr txBox="1"/>
      </cdr:nvSpPr>
      <cdr:spPr>
        <a:xfrm xmlns:a="http://schemas.openxmlformats.org/drawingml/2006/main">
          <a:off x="215900" y="238125"/>
          <a:ext cx="469900" cy="3175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0.01806</cdr:x>
      <cdr:y>0</cdr:y>
    </cdr:from>
    <cdr:to>
      <cdr:x>0.1375</cdr:x>
      <cdr:y>0.0787</cdr:y>
    </cdr:to>
    <cdr:sp macro="" textlink="">
      <cdr:nvSpPr>
        <cdr:cNvPr id="38" name="TextBox 37"/>
        <cdr:cNvSpPr txBox="1"/>
      </cdr:nvSpPr>
      <cdr:spPr>
        <a:xfrm xmlns:a="http://schemas.openxmlformats.org/drawingml/2006/main">
          <a:off x="82550" y="0"/>
          <a:ext cx="546100" cy="215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Price</a:t>
          </a:r>
        </a:p>
      </cdr:txBody>
    </cdr:sp>
  </cdr:relSizeAnchor>
  <cdr:relSizeAnchor xmlns:cdr="http://schemas.openxmlformats.org/drawingml/2006/chartDrawing">
    <cdr:from>
      <cdr:x>0.83611</cdr:x>
      <cdr:y>0.85069</cdr:y>
    </cdr:from>
    <cdr:to>
      <cdr:x>0.99722</cdr:x>
      <cdr:y>1</cdr:y>
    </cdr:to>
    <cdr:sp macro="" textlink="">
      <cdr:nvSpPr>
        <cdr:cNvPr id="39" name="TextBox 38"/>
        <cdr:cNvSpPr txBox="1"/>
      </cdr:nvSpPr>
      <cdr:spPr>
        <a:xfrm xmlns:a="http://schemas.openxmlformats.org/drawingml/2006/main">
          <a:off x="3822695" y="2333625"/>
          <a:ext cx="736595" cy="4095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100"/>
            <a:t>Quantity</a:t>
          </a:r>
        </a:p>
      </cdr:txBody>
    </cdr:sp>
  </cdr:relSizeAnchor>
  <cdr:relSizeAnchor xmlns:cdr="http://schemas.openxmlformats.org/drawingml/2006/chartDrawing">
    <cdr:from>
      <cdr:x>0.01667</cdr:x>
      <cdr:y>0.50347</cdr:y>
    </cdr:from>
    <cdr:to>
      <cdr:x>0.01806</cdr:x>
      <cdr:y>0.57755</cdr:y>
    </cdr:to>
    <cdr:cxnSp macro="">
      <cdr:nvCxnSpPr>
        <cdr:cNvPr id="8" name="Straight Arrow Connector 7"/>
        <cdr:cNvCxnSpPr/>
      </cdr:nvCxnSpPr>
      <cdr:spPr>
        <a:xfrm xmlns:a="http://schemas.openxmlformats.org/drawingml/2006/main">
          <a:off x="76200" y="1381125"/>
          <a:ext cx="6350" cy="203200"/>
        </a:xfrm>
        <a:prstGeom xmlns:a="http://schemas.openxmlformats.org/drawingml/2006/main" prst="straightConnector1">
          <a:avLst/>
        </a:prstGeom>
        <a:ln xmlns:a="http://schemas.openxmlformats.org/drawingml/2006/main" w="25400">
          <a:solidFill>
            <a:srgbClr val="0070C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0.31944</cdr:x>
      <cdr:y>0.8669</cdr:y>
    </cdr:from>
    <cdr:to>
      <cdr:x>0.44861</cdr:x>
      <cdr:y>0.8669</cdr:y>
    </cdr:to>
    <cdr:cxnSp macro="">
      <cdr:nvCxnSpPr>
        <cdr:cNvPr id="15" name="Straight Arrow Connector 14"/>
        <cdr:cNvCxnSpPr/>
      </cdr:nvCxnSpPr>
      <cdr:spPr>
        <a:xfrm xmlns:a="http://schemas.openxmlformats.org/drawingml/2006/main">
          <a:off x="1460500" y="2378075"/>
          <a:ext cx="590550" cy="0"/>
        </a:xfrm>
        <a:prstGeom xmlns:a="http://schemas.openxmlformats.org/drawingml/2006/main" prst="straightConnector1">
          <a:avLst/>
        </a:prstGeom>
        <a:ln xmlns:a="http://schemas.openxmlformats.org/drawingml/2006/main" w="25400">
          <a:solidFill>
            <a:srgbClr val="0070C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1890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Connelly</dc:creator>
  <cp:keywords/>
  <dc:description/>
  <cp:lastModifiedBy>Kathir, Pushpa - AMS</cp:lastModifiedBy>
  <cp:revision>2</cp:revision>
  <dcterms:created xsi:type="dcterms:W3CDTF">2020-04-19T18:35:00Z</dcterms:created>
  <dcterms:modified xsi:type="dcterms:W3CDTF">2020-04-19T18:35:00Z</dcterms:modified>
</cp:coreProperties>
</file>